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rPr>
      </w:pPr>
      <w:r>
        <w:rPr>
          <w:rFonts w:hint="eastAsia"/>
          <w:b/>
          <w:sz w:val="28"/>
        </w:rPr>
        <w:t>一种适用于水污染源在线监测系统现场验收工作的明渠流量计</w:t>
      </w:r>
    </w:p>
    <w:p>
      <w:pPr>
        <w:jc w:val="center"/>
        <w:rPr>
          <w:rFonts w:hint="eastAsia"/>
          <w:b/>
          <w:sz w:val="28"/>
        </w:rPr>
      </w:pPr>
      <w:r>
        <w:rPr>
          <w:rFonts w:hint="eastAsia"/>
          <w:b/>
          <w:sz w:val="28"/>
        </w:rPr>
        <w:t>——便携式明渠流量计</w:t>
      </w:r>
    </w:p>
    <w:p>
      <w:pPr>
        <w:pStyle w:val="2"/>
        <w:jc w:val="center"/>
        <w:rPr>
          <w:rFonts w:hint="eastAsia" w:eastAsia="宋体"/>
          <w:lang w:eastAsia="zh-CN"/>
        </w:rPr>
      </w:pPr>
      <w:r>
        <w:rPr>
          <w:rFonts w:hint="eastAsia"/>
          <w:b/>
          <w:sz w:val="28"/>
          <w:lang w:eastAsia="zh-CN"/>
        </w:rPr>
        <w:t>成都市凯思达机电有限责任公司</w:t>
      </w:r>
    </w:p>
    <w:p>
      <w:pPr>
        <w:pStyle w:val="4"/>
        <w:tabs>
          <w:tab w:val="right" w:pos="10466"/>
        </w:tabs>
      </w:pPr>
      <w:r>
        <w:rPr>
          <w:rFonts w:hint="eastAsia"/>
        </w:rPr>
        <w:t>1、背景</w:t>
      </w:r>
      <w:r>
        <w:tab/>
      </w:r>
      <w:bookmarkStart w:id="0" w:name="_GoBack"/>
      <w:bookmarkEnd w:id="0"/>
    </w:p>
    <w:p>
      <w:pPr>
        <w:autoSpaceDE w:val="0"/>
        <w:autoSpaceDN w:val="0"/>
        <w:adjustRightInd w:val="0"/>
        <w:spacing w:line="360" w:lineRule="auto"/>
        <w:ind w:firstLine="420" w:firstLineChars="200"/>
        <w:jc w:val="left"/>
        <w:rPr>
          <w:rFonts w:cs="黑体" w:asciiTheme="minorEastAsia" w:hAnsiTheme="minorEastAsia" w:eastAsiaTheme="minorEastAsia"/>
          <w:kern w:val="0"/>
          <w:szCs w:val="21"/>
        </w:rPr>
      </w:pPr>
      <w:r>
        <w:rPr>
          <w:rFonts w:hint="eastAsia" w:cs="宋体" w:asciiTheme="minorEastAsia" w:hAnsiTheme="minorEastAsia" w:eastAsiaTheme="minorEastAsia"/>
          <w:kern w:val="0"/>
          <w:szCs w:val="21"/>
        </w:rPr>
        <w:t>为贯彻《中华人民共和国环境保护法》和《中华人民共和国水污染防治法》，保护生态环境，保障人体健康，</w:t>
      </w:r>
      <w:r>
        <w:rPr>
          <w:rFonts w:hint="eastAsia" w:asciiTheme="minorEastAsia" w:hAnsiTheme="minorEastAsia" w:eastAsiaTheme="minorEastAsia"/>
          <w:szCs w:val="21"/>
        </w:rPr>
        <w:t>生态环境部于</w:t>
      </w:r>
      <w:r>
        <w:rPr>
          <w:rFonts w:cs="黑体" w:asciiTheme="minorEastAsia" w:hAnsiTheme="minorEastAsia" w:eastAsiaTheme="minorEastAsia"/>
          <w:kern w:val="0"/>
          <w:szCs w:val="21"/>
        </w:rPr>
        <w:t>2019</w:t>
      </w:r>
      <w:r>
        <w:rPr>
          <w:rFonts w:hint="eastAsia" w:cs="黑体" w:asciiTheme="minorEastAsia" w:hAnsiTheme="minorEastAsia" w:eastAsiaTheme="minorEastAsia"/>
          <w:kern w:val="0"/>
          <w:szCs w:val="21"/>
        </w:rPr>
        <w:t>年1</w:t>
      </w:r>
      <w:r>
        <w:rPr>
          <w:rFonts w:cs="黑体" w:asciiTheme="minorEastAsia" w:hAnsiTheme="minorEastAsia" w:eastAsiaTheme="minorEastAsia"/>
          <w:kern w:val="0"/>
          <w:szCs w:val="21"/>
        </w:rPr>
        <w:t>2</w:t>
      </w:r>
      <w:r>
        <w:rPr>
          <w:rFonts w:hint="eastAsia" w:cs="黑体" w:asciiTheme="minorEastAsia" w:hAnsiTheme="minorEastAsia" w:eastAsiaTheme="minorEastAsia"/>
          <w:kern w:val="0"/>
          <w:szCs w:val="21"/>
        </w:rPr>
        <w:t>月2</w:t>
      </w:r>
      <w:r>
        <w:rPr>
          <w:rFonts w:cs="黑体" w:asciiTheme="minorEastAsia" w:hAnsiTheme="minorEastAsia" w:eastAsiaTheme="minorEastAsia"/>
          <w:kern w:val="0"/>
          <w:szCs w:val="21"/>
        </w:rPr>
        <w:t>4</w:t>
      </w:r>
      <w:r>
        <w:rPr>
          <w:rFonts w:hint="eastAsia" w:cs="黑体" w:asciiTheme="minorEastAsia" w:hAnsiTheme="minorEastAsia" w:eastAsiaTheme="minorEastAsia"/>
          <w:kern w:val="0"/>
          <w:szCs w:val="21"/>
        </w:rPr>
        <w:t>日，发布了《水污染源在线监测系统（</w:t>
      </w:r>
      <w:r>
        <w:rPr>
          <w:rFonts w:cs="黑体" w:asciiTheme="minorEastAsia" w:hAnsiTheme="minorEastAsia" w:eastAsiaTheme="minorEastAsia"/>
          <w:kern w:val="0"/>
          <w:szCs w:val="21"/>
        </w:rPr>
        <w:t>CODCr</w:t>
      </w:r>
      <w:r>
        <w:rPr>
          <w:rFonts w:hint="eastAsia" w:cs="黑体" w:asciiTheme="minorEastAsia" w:hAnsiTheme="minorEastAsia" w:eastAsiaTheme="minorEastAsia"/>
          <w:kern w:val="0"/>
          <w:szCs w:val="21"/>
        </w:rPr>
        <w:t>、</w:t>
      </w:r>
      <w:r>
        <w:rPr>
          <w:rFonts w:cs="黑体" w:asciiTheme="minorEastAsia" w:hAnsiTheme="minorEastAsia" w:eastAsiaTheme="minorEastAsia"/>
          <w:kern w:val="0"/>
          <w:szCs w:val="21"/>
        </w:rPr>
        <w:t xml:space="preserve">NH3-N </w:t>
      </w:r>
      <w:r>
        <w:rPr>
          <w:rFonts w:hint="eastAsia" w:cs="黑体" w:asciiTheme="minorEastAsia" w:hAnsiTheme="minorEastAsia" w:eastAsiaTheme="minorEastAsia"/>
          <w:kern w:val="0"/>
          <w:szCs w:val="21"/>
        </w:rPr>
        <w:t>等）安装技术规范》和《水污染源在线监测系统（</w:t>
      </w:r>
      <w:r>
        <w:rPr>
          <w:rFonts w:cs="黑体" w:asciiTheme="minorEastAsia" w:hAnsiTheme="minorEastAsia" w:eastAsiaTheme="minorEastAsia"/>
          <w:kern w:val="0"/>
          <w:szCs w:val="21"/>
        </w:rPr>
        <w:t>CODCr</w:t>
      </w:r>
      <w:r>
        <w:rPr>
          <w:rFonts w:hint="eastAsia" w:cs="黑体" w:asciiTheme="minorEastAsia" w:hAnsiTheme="minorEastAsia" w:eastAsiaTheme="minorEastAsia"/>
          <w:kern w:val="0"/>
          <w:szCs w:val="21"/>
        </w:rPr>
        <w:t>、</w:t>
      </w:r>
      <w:r>
        <w:rPr>
          <w:rFonts w:cs="黑体" w:asciiTheme="minorEastAsia" w:hAnsiTheme="minorEastAsia" w:eastAsiaTheme="minorEastAsia"/>
          <w:kern w:val="0"/>
          <w:szCs w:val="21"/>
        </w:rPr>
        <w:t xml:space="preserve">NH3-N </w:t>
      </w:r>
      <w:r>
        <w:rPr>
          <w:rFonts w:hint="eastAsia" w:cs="黑体" w:asciiTheme="minorEastAsia" w:hAnsiTheme="minorEastAsia" w:eastAsiaTheme="minorEastAsia"/>
          <w:kern w:val="0"/>
          <w:szCs w:val="21"/>
        </w:rPr>
        <w:t>等）验收技术规范》。在《安装技术规范》中，提出了在线监测系统的组成中，需要有流量监测单元，对于</w:t>
      </w:r>
      <w:r>
        <w:rPr>
          <w:rFonts w:hint="eastAsia" w:cs="宋体" w:asciiTheme="minorEastAsia" w:hAnsiTheme="minorEastAsia" w:eastAsiaTheme="minorEastAsia"/>
          <w:kern w:val="0"/>
          <w:szCs w:val="21"/>
        </w:rPr>
        <w:t>需测定流量的排污单位，要建设明渠标准化计量堰（槽），并且堰槽的建设应能够进行明渠流量计比对工作，推荐三角堰、矩形堰及巴歇尔槽。在</w:t>
      </w:r>
      <w:r>
        <w:rPr>
          <w:rFonts w:hint="eastAsia" w:cs="黑体" w:asciiTheme="minorEastAsia" w:hAnsiTheme="minorEastAsia" w:eastAsiaTheme="minorEastAsia"/>
          <w:kern w:val="0"/>
          <w:szCs w:val="21"/>
        </w:rPr>
        <w:t>《验收技术规范》中，对</w:t>
      </w:r>
      <w:r>
        <w:rPr>
          <w:rFonts w:hint="eastAsia" w:cs="宋体" w:asciiTheme="minorEastAsia" w:hAnsiTheme="minorEastAsia" w:eastAsiaTheme="minorEastAsia"/>
          <w:kern w:val="0"/>
          <w:szCs w:val="21"/>
        </w:rPr>
        <w:t>水污染源流量监测单元的</w:t>
      </w:r>
      <w:r>
        <w:rPr>
          <w:rFonts w:hint="eastAsia" w:cs="黑体" w:asciiTheme="minorEastAsia" w:hAnsiTheme="minorEastAsia" w:eastAsiaTheme="minorEastAsia"/>
          <w:kern w:val="0"/>
          <w:szCs w:val="21"/>
        </w:rPr>
        <w:t>验收方法提出了具体的要求，分为液位误差比对和流量误差比对，具体如下：</w:t>
      </w:r>
    </w:p>
    <w:p>
      <w:pPr>
        <w:pStyle w:val="18"/>
        <w:numPr>
          <w:ilvl w:val="0"/>
          <w:numId w:val="1"/>
        </w:numPr>
        <w:autoSpaceDE w:val="0"/>
        <w:autoSpaceDN w:val="0"/>
        <w:adjustRightInd w:val="0"/>
        <w:spacing w:line="360" w:lineRule="auto"/>
        <w:ind w:firstLineChars="0"/>
        <w:jc w:val="left"/>
        <w:rPr>
          <w:rFonts w:ascii="楷体" w:hAnsi="楷体" w:eastAsia="楷体" w:cs="宋体"/>
          <w:kern w:val="0"/>
          <w:szCs w:val="21"/>
        </w:rPr>
      </w:pPr>
      <w:r>
        <w:rPr>
          <w:rFonts w:hint="eastAsia" w:ascii="楷体" w:hAnsi="楷体" w:eastAsia="楷体" w:cs="宋体"/>
          <w:kern w:val="0"/>
          <w:szCs w:val="21"/>
        </w:rPr>
        <w:t>液位误差比对：用便携式明渠流量计比对装置（液位测量精度≤</w:t>
      </w:r>
      <w:r>
        <w:rPr>
          <w:rFonts w:ascii="楷体" w:hAnsi="楷体" w:eastAsia="楷体" w:cs="TimesNewRomanPSMT"/>
          <w:kern w:val="0"/>
          <w:szCs w:val="21"/>
        </w:rPr>
        <w:t>0.1 mm</w:t>
      </w:r>
      <w:r>
        <w:rPr>
          <w:rFonts w:hint="eastAsia" w:ascii="楷体" w:hAnsi="楷体" w:eastAsia="楷体" w:cs="宋体"/>
          <w:kern w:val="0"/>
          <w:szCs w:val="21"/>
        </w:rPr>
        <w:t>）和超声波明渠流量计测量同一水位观测断面处的液位值，进行比对试验，每</w:t>
      </w:r>
      <w:r>
        <w:rPr>
          <w:rFonts w:ascii="楷体" w:hAnsi="楷体" w:eastAsia="楷体" w:cs="TimesNewRomanPSMT"/>
          <w:kern w:val="0"/>
          <w:szCs w:val="21"/>
        </w:rPr>
        <w:t>2 min</w:t>
      </w:r>
      <w:r>
        <w:rPr>
          <w:rFonts w:hint="eastAsia" w:ascii="楷体" w:hAnsi="楷体" w:eastAsia="楷体" w:cs="宋体"/>
          <w:kern w:val="0"/>
          <w:szCs w:val="21"/>
        </w:rPr>
        <w:t>记录一次数据对，连续记录</w:t>
      </w:r>
      <w:r>
        <w:rPr>
          <w:rFonts w:ascii="楷体" w:hAnsi="楷体" w:eastAsia="楷体" w:cs="TimesNewRomanPSMT"/>
          <w:kern w:val="0"/>
          <w:szCs w:val="21"/>
        </w:rPr>
        <w:t>6</w:t>
      </w:r>
      <w:r>
        <w:rPr>
          <w:rFonts w:hint="eastAsia" w:ascii="楷体" w:hAnsi="楷体" w:eastAsia="楷体" w:cs="宋体"/>
          <w:kern w:val="0"/>
          <w:szCs w:val="21"/>
        </w:rPr>
        <w:t>次，计算每一组数据对的误差值</w:t>
      </w:r>
      <w:r>
        <w:rPr>
          <w:rFonts w:ascii="楷体" w:hAnsi="楷体" w:eastAsia="楷体" w:cs="TimesNewRomanPS-ItalicMT"/>
          <w:iCs/>
          <w:kern w:val="0"/>
          <w:szCs w:val="21"/>
        </w:rPr>
        <w:t>H</w:t>
      </w:r>
      <w:r>
        <w:rPr>
          <w:rFonts w:ascii="楷体" w:hAnsi="楷体" w:eastAsia="楷体" w:cs="TimesNewRomanPSMT"/>
          <w:kern w:val="0"/>
          <w:szCs w:val="21"/>
        </w:rPr>
        <w:t>i</w:t>
      </w:r>
      <w:r>
        <w:rPr>
          <w:rFonts w:hint="eastAsia" w:ascii="楷体" w:hAnsi="楷体" w:eastAsia="楷体" w:cs="宋体"/>
          <w:kern w:val="0"/>
          <w:szCs w:val="21"/>
        </w:rPr>
        <w:t>，选取最大的</w:t>
      </w:r>
      <w:r>
        <w:rPr>
          <w:rFonts w:ascii="楷体" w:hAnsi="楷体" w:eastAsia="楷体" w:cs="TimesNewRomanPS-ItalicMT"/>
          <w:iCs/>
          <w:kern w:val="0"/>
          <w:szCs w:val="21"/>
        </w:rPr>
        <w:t>H</w:t>
      </w:r>
      <w:r>
        <w:rPr>
          <w:rFonts w:ascii="楷体" w:hAnsi="楷体" w:eastAsia="楷体" w:cs="TimesNewRomanPSMT"/>
          <w:kern w:val="0"/>
          <w:szCs w:val="21"/>
        </w:rPr>
        <w:t>i</w:t>
      </w:r>
      <w:r>
        <w:rPr>
          <w:rFonts w:hint="eastAsia" w:ascii="楷体" w:hAnsi="楷体" w:eastAsia="楷体" w:cs="宋体"/>
          <w:kern w:val="0"/>
          <w:szCs w:val="21"/>
        </w:rPr>
        <w:t>作为流量计的液位比对误差。</w:t>
      </w:r>
    </w:p>
    <w:p>
      <w:pPr>
        <w:pStyle w:val="18"/>
        <w:numPr>
          <w:ilvl w:val="0"/>
          <w:numId w:val="1"/>
        </w:numPr>
        <w:autoSpaceDE w:val="0"/>
        <w:autoSpaceDN w:val="0"/>
        <w:adjustRightInd w:val="0"/>
        <w:spacing w:line="360" w:lineRule="auto"/>
        <w:ind w:firstLineChars="0"/>
        <w:jc w:val="left"/>
        <w:rPr>
          <w:rFonts w:ascii="楷体" w:hAnsi="楷体" w:eastAsia="楷体" w:cs="宋体"/>
          <w:kern w:val="0"/>
          <w:szCs w:val="21"/>
        </w:rPr>
      </w:pPr>
      <w:r>
        <w:rPr>
          <w:rFonts w:hint="eastAsia" w:ascii="楷体" w:hAnsi="楷体" w:eastAsia="楷体" w:cs="宋体"/>
          <w:kern w:val="0"/>
          <w:szCs w:val="21"/>
        </w:rPr>
        <w:t>流量误差比对：用便携式明渠流量计比对装置和超声波明渠流量计测量同一水位观测断面处的瞬时流量，进行比对试验，待数据稳定后，开始计时，计时</w:t>
      </w:r>
      <w:r>
        <w:rPr>
          <w:rFonts w:ascii="楷体" w:hAnsi="楷体" w:eastAsia="楷体" w:cs="TimesNewRomanPSMT"/>
          <w:kern w:val="0"/>
          <w:szCs w:val="21"/>
        </w:rPr>
        <w:t>10 min</w:t>
      </w:r>
      <w:r>
        <w:rPr>
          <w:rFonts w:hint="eastAsia" w:ascii="楷体" w:hAnsi="楷体" w:eastAsia="楷体" w:cs="宋体"/>
          <w:kern w:val="0"/>
          <w:szCs w:val="21"/>
        </w:rPr>
        <w:t>，分别读取明渠流量比对装置该时段内的累积流量</w:t>
      </w:r>
      <w:r>
        <w:rPr>
          <w:rFonts w:ascii="楷体" w:hAnsi="楷体" w:eastAsia="楷体" w:cs="TimesNewRomanPS-ItalicMT"/>
          <w:iCs/>
          <w:kern w:val="0"/>
          <w:szCs w:val="21"/>
        </w:rPr>
        <w:t>F</w:t>
      </w:r>
      <w:r>
        <w:rPr>
          <w:rFonts w:ascii="楷体" w:hAnsi="楷体" w:eastAsia="楷体" w:cs="TimesNewRomanPSMT"/>
          <w:kern w:val="0"/>
          <w:szCs w:val="21"/>
        </w:rPr>
        <w:t xml:space="preserve">1 </w:t>
      </w:r>
      <w:r>
        <w:rPr>
          <w:rFonts w:hint="eastAsia" w:ascii="楷体" w:hAnsi="楷体" w:eastAsia="楷体" w:cs="宋体"/>
          <w:kern w:val="0"/>
          <w:szCs w:val="21"/>
        </w:rPr>
        <w:t>和超声波明渠流量计该时段内的累积流量</w:t>
      </w:r>
      <w:r>
        <w:rPr>
          <w:rFonts w:ascii="楷体" w:hAnsi="楷体" w:eastAsia="楷体" w:cs="TimesNewRomanPS-ItalicMT"/>
          <w:iCs/>
          <w:kern w:val="0"/>
          <w:szCs w:val="21"/>
        </w:rPr>
        <w:t>F</w:t>
      </w:r>
      <w:r>
        <w:rPr>
          <w:rFonts w:ascii="楷体" w:hAnsi="楷体" w:eastAsia="楷体" w:cs="TimesNewRomanPSMT"/>
          <w:kern w:val="0"/>
          <w:szCs w:val="21"/>
        </w:rPr>
        <w:t>2</w:t>
      </w:r>
      <w:r>
        <w:rPr>
          <w:rFonts w:hint="eastAsia" w:ascii="楷体" w:hAnsi="楷体" w:eastAsia="楷体" w:cs="宋体"/>
          <w:kern w:val="0"/>
          <w:szCs w:val="21"/>
        </w:rPr>
        <w:t>，按公式计算流量比对误差</w:t>
      </w:r>
      <w:r>
        <w:rPr>
          <w:rFonts w:hint="eastAsia" w:ascii="楷体" w:hAnsi="楷体" w:eastAsia="楷体" w:cs="TimesNewRomanPSMT"/>
          <w:kern w:val="0"/>
          <w:szCs w:val="21"/>
        </w:rPr>
        <w:t>Δ</w:t>
      </w:r>
      <w:r>
        <w:rPr>
          <w:rFonts w:ascii="楷体" w:hAnsi="楷体" w:eastAsia="楷体" w:cs="TimesNewRomanPS-ItalicMT"/>
          <w:iCs/>
          <w:kern w:val="0"/>
          <w:szCs w:val="21"/>
        </w:rPr>
        <w:t>F</w:t>
      </w:r>
      <w:r>
        <w:rPr>
          <w:rFonts w:hint="eastAsia" w:ascii="楷体" w:hAnsi="楷体" w:eastAsia="楷体" w:cs="宋体"/>
          <w:kern w:val="0"/>
          <w:szCs w:val="21"/>
        </w:rPr>
        <w:t>。</w:t>
      </w:r>
    </w:p>
    <w:p>
      <w:pPr>
        <w:autoSpaceDE w:val="0"/>
        <w:autoSpaceDN w:val="0"/>
        <w:adjustRightInd w:val="0"/>
        <w:spacing w:line="360" w:lineRule="auto"/>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根据以上要求可以看出，在现场验收时需要用到便携式明渠流量计，验收的过程中要连续地统计记录液位数据及流量数据，需要在1</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分钟内同步记录在线明渠流量计和便携污水流量计各6个液位数据，及在1</w:t>
      </w:r>
      <w:r>
        <w:rPr>
          <w:rFonts w:hint="eastAsia" w:cs="宋体" w:asciiTheme="minorEastAsia" w:hAnsiTheme="minorEastAsia" w:eastAsiaTheme="minorEastAsia"/>
          <w:kern w:val="0"/>
          <w:szCs w:val="21"/>
          <w:lang w:val="en-US" w:eastAsia="zh-CN"/>
        </w:rPr>
        <w:t>2</w:t>
      </w:r>
      <w:r>
        <w:rPr>
          <w:rFonts w:hint="eastAsia" w:cs="宋体" w:asciiTheme="minorEastAsia" w:hAnsiTheme="minorEastAsia" w:eastAsiaTheme="minorEastAsia"/>
          <w:kern w:val="0"/>
          <w:szCs w:val="21"/>
        </w:rPr>
        <w:t>分钟内同步记录在线明渠流量计和便携污水流量计各</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个明渠流量累计数据，而且因为污水流量监测过程是不可逆的，一旦在记录过程中出现问题，则需要重新进行比对验收，在时间上和空间上都给现场的验收工作带来了困难。</w:t>
      </w:r>
    </w:p>
    <w:p>
      <w:pPr>
        <w:autoSpaceDE w:val="0"/>
        <w:autoSpaceDN w:val="0"/>
        <w:adjustRightInd w:val="0"/>
        <w:spacing w:line="360" w:lineRule="auto"/>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国内虽然有各类的明渠污水流量计，但是并没有一款能够方便快速完成上述验收任务的便携式污水流量计，我们公司利用</w:t>
      </w:r>
      <w:r>
        <w:rPr>
          <w:rFonts w:hint="eastAsia" w:asciiTheme="minorEastAsia" w:hAnsiTheme="minorEastAsia" w:eastAsiaTheme="minorEastAsia"/>
          <w:szCs w:val="21"/>
        </w:rPr>
        <w:t>多年环保监测仪器研发经验，</w:t>
      </w:r>
      <w:r>
        <w:rPr>
          <w:rFonts w:hint="eastAsia" w:cs="宋体" w:asciiTheme="minorEastAsia" w:hAnsiTheme="minorEastAsia" w:eastAsiaTheme="minorEastAsia"/>
          <w:kern w:val="0"/>
          <w:szCs w:val="21"/>
        </w:rPr>
        <w:t>结合</w:t>
      </w:r>
      <w:r>
        <w:rPr>
          <w:rFonts w:hint="eastAsia" w:cs="黑体" w:asciiTheme="minorEastAsia" w:hAnsiTheme="minorEastAsia" w:eastAsiaTheme="minorEastAsia"/>
          <w:kern w:val="0"/>
          <w:szCs w:val="21"/>
        </w:rPr>
        <w:t>《水污染源在线监测系统（</w:t>
      </w:r>
      <w:r>
        <w:rPr>
          <w:rFonts w:cs="黑体" w:asciiTheme="minorEastAsia" w:hAnsiTheme="minorEastAsia" w:eastAsiaTheme="minorEastAsia"/>
          <w:kern w:val="0"/>
          <w:szCs w:val="21"/>
        </w:rPr>
        <w:t>CODCr</w:t>
      </w:r>
      <w:r>
        <w:rPr>
          <w:rFonts w:hint="eastAsia" w:cs="黑体" w:asciiTheme="minorEastAsia" w:hAnsiTheme="minorEastAsia" w:eastAsiaTheme="minorEastAsia"/>
          <w:kern w:val="0"/>
          <w:szCs w:val="21"/>
        </w:rPr>
        <w:t>、</w:t>
      </w:r>
      <w:r>
        <w:rPr>
          <w:rFonts w:cs="黑体" w:asciiTheme="minorEastAsia" w:hAnsiTheme="minorEastAsia" w:eastAsiaTheme="minorEastAsia"/>
          <w:kern w:val="0"/>
          <w:szCs w:val="21"/>
        </w:rPr>
        <w:t xml:space="preserve">NH3-N </w:t>
      </w:r>
      <w:r>
        <w:rPr>
          <w:rFonts w:hint="eastAsia" w:cs="黑体" w:asciiTheme="minorEastAsia" w:hAnsiTheme="minorEastAsia" w:eastAsiaTheme="minorEastAsia"/>
          <w:kern w:val="0"/>
          <w:szCs w:val="21"/>
        </w:rPr>
        <w:t>等）安装技术规范》和《水污染源在线监测系统（</w:t>
      </w:r>
      <w:r>
        <w:rPr>
          <w:rFonts w:cs="黑体" w:asciiTheme="minorEastAsia" w:hAnsiTheme="minorEastAsia" w:eastAsiaTheme="minorEastAsia"/>
          <w:kern w:val="0"/>
          <w:szCs w:val="21"/>
        </w:rPr>
        <w:t>CODCr</w:t>
      </w:r>
      <w:r>
        <w:rPr>
          <w:rFonts w:hint="eastAsia" w:cs="黑体" w:asciiTheme="minorEastAsia" w:hAnsiTheme="minorEastAsia" w:eastAsiaTheme="minorEastAsia"/>
          <w:kern w:val="0"/>
          <w:szCs w:val="21"/>
        </w:rPr>
        <w:t>、</w:t>
      </w:r>
      <w:r>
        <w:rPr>
          <w:rFonts w:cs="黑体" w:asciiTheme="minorEastAsia" w:hAnsiTheme="minorEastAsia" w:eastAsiaTheme="minorEastAsia"/>
          <w:kern w:val="0"/>
          <w:szCs w:val="21"/>
        </w:rPr>
        <w:t xml:space="preserve">NH3-N </w:t>
      </w:r>
      <w:r>
        <w:rPr>
          <w:rFonts w:hint="eastAsia" w:cs="黑体" w:asciiTheme="minorEastAsia" w:hAnsiTheme="minorEastAsia" w:eastAsiaTheme="minorEastAsia"/>
          <w:kern w:val="0"/>
          <w:szCs w:val="21"/>
        </w:rPr>
        <w:t>等）验收技术规范》等标准的要求，</w:t>
      </w:r>
      <w:r>
        <w:rPr>
          <w:rFonts w:hint="eastAsia" w:cs="宋体" w:asciiTheme="minorEastAsia" w:hAnsiTheme="minorEastAsia" w:eastAsiaTheme="minorEastAsia"/>
          <w:kern w:val="0"/>
          <w:szCs w:val="21"/>
        </w:rPr>
        <w:t>开发出了一款专门针对明渠流量计现场验收要求的便携式明渠流量计。</w:t>
      </w:r>
    </w:p>
    <w:p>
      <w:pPr>
        <w:rPr>
          <w:rFonts w:hint="eastAsia"/>
        </w:rPr>
      </w:pPr>
      <w:r>
        <w:rPr>
          <w:rFonts w:hint="eastAsia"/>
        </w:rPr>
        <w:br w:type="page"/>
      </w:r>
    </w:p>
    <w:p>
      <w:pPr>
        <w:pStyle w:val="4"/>
      </w:pPr>
      <w:r>
        <w:rPr>
          <w:rFonts w:hint="eastAsia"/>
        </w:rPr>
        <w:t>2、产品介绍</w:t>
      </w:r>
    </w:p>
    <w:p>
      <w:pPr>
        <w:pStyle w:val="5"/>
        <w:rPr>
          <w:rFonts w:hint="eastAsia"/>
          <w:lang w:val="en-US" w:eastAsia="zh-CN"/>
        </w:rPr>
      </w:pPr>
      <w:r>
        <w:rPr>
          <w:rFonts w:hint="eastAsia"/>
        </w:rPr>
        <w:t>2</w:t>
      </w:r>
      <w:r>
        <w:t>.1</w:t>
      </w:r>
      <w:r>
        <w:rPr>
          <w:rFonts w:hint="eastAsia"/>
        </w:rPr>
        <w:t>仪器组成</w:t>
      </w:r>
      <w:r>
        <w:rPr>
          <w:rFonts w:hint="eastAsia"/>
          <w:lang w:val="en-US" w:eastAsia="zh-CN"/>
        </w:rPr>
        <w:t xml:space="preserve"> </w:t>
      </w:r>
    </w:p>
    <w:p>
      <w:pPr>
        <w:bidi w:val="0"/>
      </w:pPr>
      <w:r>
        <w:drawing>
          <wp:inline distT="0" distB="0" distL="114300" distR="114300">
            <wp:extent cx="6639560" cy="8068945"/>
            <wp:effectExtent l="0" t="0" r="2540" b="8255"/>
            <wp:docPr id="7" name="图片 7" descr="5c584e8cdc1deff44a88a8749f0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c584e8cdc1deff44a88a8749f0bada"/>
                    <pic:cNvPicPr>
                      <a:picLocks noChangeAspect="1"/>
                    </pic:cNvPicPr>
                  </pic:nvPicPr>
                  <pic:blipFill>
                    <a:blip r:embed="rId6"/>
                    <a:stretch>
                      <a:fillRect/>
                    </a:stretch>
                  </pic:blipFill>
                  <pic:spPr>
                    <a:xfrm>
                      <a:off x="0" y="0"/>
                      <a:ext cx="6639560" cy="8068945"/>
                    </a:xfrm>
                    <a:prstGeom prst="rect">
                      <a:avLst/>
                    </a:prstGeom>
                  </pic:spPr>
                </pic:pic>
              </a:graphicData>
            </a:graphic>
          </wp:inline>
        </w:drawing>
      </w:r>
    </w:p>
    <w:p>
      <w:pPr>
        <w:bidi w:val="0"/>
        <w:jc w:val="center"/>
      </w:pPr>
    </w:p>
    <w:p>
      <w:pPr>
        <w:bidi w:val="0"/>
        <w:jc w:val="center"/>
        <w:rPr>
          <w:rFonts w:hint="eastAsia"/>
          <w:lang w:val="en-US" w:eastAsia="zh-CN"/>
        </w:rPr>
      </w:pPr>
      <w:r>
        <w:drawing>
          <wp:inline distT="0" distB="0" distL="114300" distR="114300">
            <wp:extent cx="2879725" cy="4184650"/>
            <wp:effectExtent l="0" t="0" r="3175" b="6350"/>
            <wp:docPr id="1" name="图片 1" descr="811359894984e46221158e755776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1359894984e46221158e755776f3f"/>
                    <pic:cNvPicPr>
                      <a:picLocks noChangeAspect="1"/>
                    </pic:cNvPicPr>
                  </pic:nvPicPr>
                  <pic:blipFill>
                    <a:blip r:embed="rId7"/>
                    <a:stretch>
                      <a:fillRect/>
                    </a:stretch>
                  </pic:blipFill>
                  <pic:spPr>
                    <a:xfrm>
                      <a:off x="0" y="0"/>
                      <a:ext cx="2879725" cy="4184650"/>
                    </a:xfrm>
                    <a:prstGeom prst="rect">
                      <a:avLst/>
                    </a:prstGeom>
                  </pic:spPr>
                </pic:pic>
              </a:graphicData>
            </a:graphic>
          </wp:inline>
        </w:drawing>
      </w:r>
    </w:p>
    <w:p>
      <w:pPr>
        <w:bidi w:val="0"/>
        <w:jc w:val="center"/>
      </w:pPr>
      <w:r>
        <w:drawing>
          <wp:inline distT="0" distB="0" distL="114300" distR="114300">
            <wp:extent cx="2879725" cy="2160270"/>
            <wp:effectExtent l="0" t="0" r="0" b="0"/>
            <wp:docPr id="39" name="图片 39" descr="9dc661dc4f66fe20462c605fd048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dc661dc4f66fe20462c605fd0480c2"/>
                    <pic:cNvPicPr>
                      <a:picLocks noChangeAspect="1"/>
                    </pic:cNvPicPr>
                  </pic:nvPicPr>
                  <pic:blipFill>
                    <a:blip r:embed="rId8"/>
                    <a:stretch>
                      <a:fillRect/>
                    </a:stretch>
                  </pic:blipFill>
                  <pic:spPr>
                    <a:xfrm>
                      <a:off x="0" y="0"/>
                      <a:ext cx="2879725" cy="2160270"/>
                    </a:xfrm>
                    <a:prstGeom prst="rect">
                      <a:avLst/>
                    </a:prstGeom>
                  </pic:spPr>
                </pic:pic>
              </a:graphicData>
            </a:graphic>
          </wp:inline>
        </w:drawing>
      </w:r>
      <w:r>
        <w:rPr>
          <w:rFonts w:hint="eastAsia"/>
          <w:lang w:val="en-US" w:eastAsia="zh-CN"/>
        </w:rPr>
        <w:t xml:space="preserve">  </w:t>
      </w:r>
      <w:r>
        <w:drawing>
          <wp:inline distT="0" distB="0" distL="114300" distR="114300">
            <wp:extent cx="2879725" cy="2159635"/>
            <wp:effectExtent l="0" t="0" r="0" b="0"/>
            <wp:docPr id="40" name="图片 40" descr="f1d160e246d46960cd306bb44649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1d160e246d46960cd306bb446496ce"/>
                    <pic:cNvPicPr>
                      <a:picLocks noChangeAspect="1"/>
                    </pic:cNvPicPr>
                  </pic:nvPicPr>
                  <pic:blipFill>
                    <a:blip r:embed="rId9"/>
                    <a:stretch>
                      <a:fillRect/>
                    </a:stretch>
                  </pic:blipFill>
                  <pic:spPr>
                    <a:xfrm>
                      <a:off x="0" y="0"/>
                      <a:ext cx="2879725" cy="2159635"/>
                    </a:xfrm>
                    <a:prstGeom prst="rect">
                      <a:avLst/>
                    </a:prstGeom>
                  </pic:spPr>
                </pic:pic>
              </a:graphicData>
            </a:graphic>
          </wp:inline>
        </w:drawing>
      </w:r>
      <w:r>
        <w:br w:type="page"/>
      </w:r>
    </w:p>
    <w:p>
      <w:pPr>
        <w:pStyle w:val="5"/>
        <w:rPr>
          <w:rFonts w:hint="eastAsia" w:eastAsia="宋体"/>
          <w:lang w:val="en-US" w:eastAsia="zh-CN"/>
        </w:rPr>
      </w:pPr>
      <w:r>
        <w:rPr>
          <w:rFonts w:hint="eastAsia"/>
        </w:rPr>
        <w:t>2</w:t>
      </w:r>
      <w:r>
        <w:t>.2</w:t>
      </w:r>
      <w:r>
        <w:rPr>
          <w:rFonts w:hint="eastAsia"/>
        </w:rPr>
        <w:t>现场安装</w:t>
      </w:r>
    </w:p>
    <w:p>
      <w:pPr>
        <w:autoSpaceDE w:val="0"/>
        <w:autoSpaceDN w:val="0"/>
        <w:adjustRightInd w:val="0"/>
        <w:spacing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既然是便携式的明渠流量计，对于现场的安装，要求能简便、快速的完成现场流量计的安装部署工作。</w:t>
      </w:r>
    </w:p>
    <w:p>
      <w:pPr>
        <w:autoSpaceDE w:val="0"/>
        <w:autoSpaceDN w:val="0"/>
        <w:adjustRightInd w:val="0"/>
        <w:spacing w:line="360" w:lineRule="auto"/>
        <w:ind w:firstLine="420" w:firstLineChars="200"/>
        <w:jc w:val="left"/>
        <w:rPr>
          <w:rFonts w:hint="eastAsia" w:eastAsia="宋体"/>
          <w:lang w:eastAsia="zh-CN"/>
        </w:rPr>
      </w:pPr>
      <w:r>
        <w:rPr>
          <w:rFonts w:hint="eastAsia" w:eastAsia="宋体"/>
          <w:lang w:eastAsia="zh-CN"/>
        </w:rPr>
        <w:drawing>
          <wp:inline distT="0" distB="0" distL="114300" distR="114300">
            <wp:extent cx="6581775" cy="6581775"/>
            <wp:effectExtent l="0" t="0" r="9525" b="9525"/>
            <wp:docPr id="13" name="图片 13" descr="6c44fb3eeee90a53909d130f44ed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c44fb3eeee90a53909d130f44ed296"/>
                    <pic:cNvPicPr>
                      <a:picLocks noChangeAspect="1"/>
                    </pic:cNvPicPr>
                  </pic:nvPicPr>
                  <pic:blipFill>
                    <a:blip r:embed="rId10"/>
                    <a:stretch>
                      <a:fillRect/>
                    </a:stretch>
                  </pic:blipFill>
                  <pic:spPr>
                    <a:xfrm>
                      <a:off x="0" y="0"/>
                      <a:ext cx="6581775" cy="6581775"/>
                    </a:xfrm>
                    <a:prstGeom prst="rect">
                      <a:avLst/>
                    </a:prstGeom>
                  </pic:spPr>
                </pic:pic>
              </a:graphicData>
            </a:graphic>
          </wp:inline>
        </w:drawing>
      </w:r>
      <w:r>
        <w:rPr>
          <w:rFonts w:hint="eastAsia"/>
        </w:rPr>
        <w:br w:type="page"/>
      </w:r>
    </w:p>
    <w:p>
      <w:pPr>
        <w:pStyle w:val="5"/>
        <w:rPr>
          <w:rFonts w:hint="eastAsia"/>
        </w:rPr>
      </w:pPr>
      <w:r>
        <w:rPr>
          <w:rFonts w:hint="eastAsia"/>
        </w:rPr>
        <w:t>2</w:t>
      </w:r>
      <w:r>
        <w:t>.3</w:t>
      </w:r>
      <w:r>
        <w:rPr>
          <w:rFonts w:hint="eastAsia"/>
        </w:rPr>
        <w:t>现场的比对过程</w:t>
      </w:r>
    </w:p>
    <w:p>
      <w:pPr>
        <w:numPr>
          <w:ilvl w:val="0"/>
          <w:numId w:val="2"/>
        </w:numPr>
        <w:rPr>
          <w:rFonts w:hint="eastAsia"/>
          <w:lang w:val="en-US" w:eastAsia="zh-CN"/>
        </w:rPr>
      </w:pPr>
      <w:r>
        <w:rPr>
          <w:rFonts w:hint="eastAsia"/>
          <w:lang w:val="en-US" w:eastAsia="zh-CN"/>
        </w:rPr>
        <w:t>按照图示连接仪表与探头</w:t>
      </w:r>
    </w:p>
    <w:p>
      <w:pPr>
        <w:numPr>
          <w:ilvl w:val="0"/>
          <w:numId w:val="2"/>
        </w:numPr>
        <w:rPr>
          <w:rFonts w:hint="eastAsia"/>
          <w:lang w:val="en-US" w:eastAsia="zh-CN"/>
        </w:rPr>
      </w:pPr>
      <w:r>
        <w:rPr>
          <w:rFonts w:hint="eastAsia"/>
          <w:lang w:val="en-US" w:eastAsia="zh-CN"/>
        </w:rPr>
        <w:t>插入内存卡，开机（否则不储存数据）</w:t>
      </w:r>
    </w:p>
    <w:p>
      <w:pPr>
        <w:pStyle w:val="2"/>
        <w:numPr>
          <w:ilvl w:val="0"/>
          <w:numId w:val="2"/>
        </w:numPr>
        <w:rPr>
          <w:rFonts w:hint="default"/>
          <w:lang w:val="en-US" w:eastAsia="zh-CN"/>
        </w:rPr>
      </w:pPr>
      <w:r>
        <w:rPr>
          <w:rFonts w:hint="eastAsia"/>
          <w:lang w:val="en-US" w:eastAsia="zh-CN"/>
        </w:rPr>
        <w:t>设置屏幕中内容，点击保存参数（根据自己实际情况填写数据）</w:t>
      </w:r>
    </w:p>
    <w:p>
      <w:pPr>
        <w:pStyle w:val="2"/>
        <w:numPr>
          <w:ilvl w:val="0"/>
          <w:numId w:val="0"/>
        </w:numPr>
        <w:rPr>
          <w:rFonts w:hint="eastAsia"/>
          <w:lang w:val="en-US" w:eastAsia="zh-CN"/>
        </w:rPr>
      </w:pPr>
      <w:r>
        <w:rPr>
          <w:rFonts w:hint="eastAsia"/>
          <w:lang w:val="en-US" w:eastAsia="zh-CN"/>
        </w:rPr>
        <w:drawing>
          <wp:inline distT="0" distB="0" distL="114300" distR="114300">
            <wp:extent cx="5107305" cy="2980690"/>
            <wp:effectExtent l="0" t="0" r="13335" b="6350"/>
            <wp:docPr id="5" name="图片 5" descr="16764406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6440669961"/>
                    <pic:cNvPicPr>
                      <a:picLocks noChangeAspect="1"/>
                    </pic:cNvPicPr>
                  </pic:nvPicPr>
                  <pic:blipFill>
                    <a:blip r:embed="rId11"/>
                    <a:stretch>
                      <a:fillRect/>
                    </a:stretch>
                  </pic:blipFill>
                  <pic:spPr>
                    <a:xfrm>
                      <a:off x="0" y="0"/>
                      <a:ext cx="5107305" cy="2980690"/>
                    </a:xfrm>
                    <a:prstGeom prst="rect">
                      <a:avLst/>
                    </a:prstGeom>
                  </pic:spPr>
                </pic:pic>
              </a:graphicData>
            </a:graphic>
          </wp:inline>
        </w:drawing>
      </w:r>
    </w:p>
    <w:p>
      <w:pPr>
        <w:pStyle w:val="2"/>
        <w:numPr>
          <w:ilvl w:val="0"/>
          <w:numId w:val="3"/>
        </w:numPr>
        <w:rPr>
          <w:rFonts w:hint="eastAsia"/>
          <w:lang w:val="en-US" w:eastAsia="zh-CN"/>
        </w:rPr>
      </w:pPr>
      <w:r>
        <w:rPr>
          <w:rFonts w:hint="eastAsia"/>
          <w:lang w:val="en-US" w:eastAsia="zh-CN"/>
        </w:rPr>
        <w:t>磁盘清理：内存卡储存满之后会有提示，一般不需要操作。</w:t>
      </w:r>
    </w:p>
    <w:p>
      <w:pPr>
        <w:pStyle w:val="2"/>
        <w:numPr>
          <w:ilvl w:val="0"/>
          <w:numId w:val="3"/>
        </w:numPr>
        <w:rPr>
          <w:rFonts w:hint="eastAsia"/>
          <w:lang w:val="en-US" w:eastAsia="zh-CN"/>
        </w:rPr>
      </w:pPr>
      <w:r>
        <w:rPr>
          <w:rFonts w:hint="eastAsia"/>
          <w:lang w:val="en-US" w:eastAsia="zh-CN"/>
        </w:rPr>
        <w:t>触屏校准：圈中准心依次点击进行校准</w:t>
      </w:r>
    </w:p>
    <w:p>
      <w:pPr>
        <w:pStyle w:val="2"/>
        <w:numPr>
          <w:ilvl w:val="0"/>
          <w:numId w:val="0"/>
        </w:numPr>
        <w:rPr>
          <w:rFonts w:hint="eastAsia"/>
          <w:lang w:val="en-US" w:eastAsia="zh-CN"/>
        </w:rPr>
      </w:pPr>
      <w:r>
        <w:rPr>
          <w:rFonts w:hint="eastAsia"/>
          <w:lang w:val="en-US" w:eastAsia="zh-CN"/>
        </w:rPr>
        <w:drawing>
          <wp:inline distT="0" distB="0" distL="114300" distR="114300">
            <wp:extent cx="5049520" cy="2819400"/>
            <wp:effectExtent l="0" t="0" r="10160" b="0"/>
            <wp:docPr id="8" name="图片 8" descr="16764408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6440897159"/>
                    <pic:cNvPicPr>
                      <a:picLocks noChangeAspect="1"/>
                    </pic:cNvPicPr>
                  </pic:nvPicPr>
                  <pic:blipFill>
                    <a:blip r:embed="rId12"/>
                    <a:stretch>
                      <a:fillRect/>
                    </a:stretch>
                  </pic:blipFill>
                  <pic:spPr>
                    <a:xfrm>
                      <a:off x="0" y="0"/>
                      <a:ext cx="5049520" cy="2819400"/>
                    </a:xfrm>
                    <a:prstGeom prst="rect">
                      <a:avLst/>
                    </a:prstGeom>
                  </pic:spPr>
                </pic:pic>
              </a:graphicData>
            </a:graphic>
          </wp:inline>
        </w:drawing>
      </w:r>
    </w:p>
    <w:p>
      <w:pPr>
        <w:pStyle w:val="2"/>
        <w:numPr>
          <w:ilvl w:val="0"/>
          <w:numId w:val="3"/>
        </w:numPr>
        <w:rPr>
          <w:rFonts w:hint="default"/>
          <w:lang w:val="en-US" w:eastAsia="zh-CN"/>
        </w:rPr>
      </w:pPr>
      <w:r>
        <w:rPr>
          <w:rFonts w:hint="eastAsia"/>
          <w:lang w:val="en-US" w:eastAsia="zh-CN"/>
        </w:rPr>
        <w:t>保存参数：检测点参数设置完之后，点击保存。</w:t>
      </w:r>
    </w:p>
    <w:p>
      <w:pPr>
        <w:pStyle w:val="2"/>
        <w:numPr>
          <w:ilvl w:val="0"/>
          <w:numId w:val="3"/>
        </w:numPr>
        <w:rPr>
          <w:rFonts w:hint="default"/>
          <w:lang w:val="en-US" w:eastAsia="zh-CN"/>
        </w:rPr>
      </w:pPr>
      <w:r>
        <w:rPr>
          <w:rFonts w:hint="eastAsia"/>
          <w:lang w:val="en-US" w:eastAsia="zh-CN"/>
        </w:rPr>
        <w:t>帮助：</w:t>
      </w:r>
    </w:p>
    <w:p>
      <w:pPr>
        <w:pStyle w:val="2"/>
        <w:numPr>
          <w:ilvl w:val="0"/>
          <w:numId w:val="0"/>
        </w:numPr>
        <w:rPr>
          <w:rFonts w:hint="default"/>
          <w:lang w:val="en-US" w:eastAsia="zh-CN"/>
        </w:rPr>
      </w:pPr>
      <w:r>
        <w:rPr>
          <w:rFonts w:hint="default"/>
          <w:lang w:val="en-US" w:eastAsia="zh-CN"/>
        </w:rPr>
        <w:drawing>
          <wp:inline distT="0" distB="0" distL="114300" distR="114300">
            <wp:extent cx="5445760" cy="2681605"/>
            <wp:effectExtent l="0" t="0" r="10160" b="635"/>
            <wp:docPr id="17" name="图片 17" descr="167644124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6441248989"/>
                    <pic:cNvPicPr>
                      <a:picLocks noChangeAspect="1"/>
                    </pic:cNvPicPr>
                  </pic:nvPicPr>
                  <pic:blipFill>
                    <a:blip r:embed="rId13"/>
                    <a:stretch>
                      <a:fillRect/>
                    </a:stretch>
                  </pic:blipFill>
                  <pic:spPr>
                    <a:xfrm>
                      <a:off x="0" y="0"/>
                      <a:ext cx="5445760" cy="2681605"/>
                    </a:xfrm>
                    <a:prstGeom prst="rect">
                      <a:avLst/>
                    </a:prstGeom>
                  </pic:spPr>
                </pic:pic>
              </a:graphicData>
            </a:graphic>
          </wp:inline>
        </w:drawing>
      </w:r>
    </w:p>
    <w:p>
      <w:pPr>
        <w:pStyle w:val="2"/>
        <w:numPr>
          <w:ilvl w:val="0"/>
          <w:numId w:val="2"/>
        </w:numPr>
        <w:rPr>
          <w:rFonts w:hint="default"/>
          <w:lang w:val="en-US" w:eastAsia="zh-CN"/>
        </w:rPr>
      </w:pPr>
      <w:r>
        <w:rPr>
          <w:rFonts w:hint="eastAsia"/>
          <w:lang w:val="en-US" w:eastAsia="zh-CN"/>
        </w:rPr>
        <w:t>根据现场的堰槽类型尺寸输入对应参数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autoSpaceDE w:val="0"/>
              <w:autoSpaceDN w:val="0"/>
              <w:adjustRightInd w:val="0"/>
              <w:spacing w:line="360" w:lineRule="auto"/>
              <w:jc w:val="center"/>
              <w:rPr>
                <w:rFonts w:asciiTheme="minorEastAsia" w:hAnsiTheme="minorEastAsia" w:eastAsiaTheme="minorEastAsia"/>
              </w:rPr>
            </w:pPr>
            <w:r>
              <w:rPr>
                <w:rFonts w:hint="eastAsia" w:asciiTheme="minorEastAsia" w:hAnsiTheme="minorEastAsia" w:eastAsiaTheme="minorEastAsia"/>
              </w:rPr>
              <w:t>步骤</w:t>
            </w:r>
          </w:p>
        </w:tc>
        <w:tc>
          <w:tcPr>
            <w:tcW w:w="8760" w:type="dxa"/>
          </w:tcPr>
          <w:p>
            <w:pPr>
              <w:autoSpaceDE w:val="0"/>
              <w:autoSpaceDN w:val="0"/>
              <w:adjustRightInd w:val="0"/>
              <w:spacing w:line="360" w:lineRule="auto"/>
              <w:jc w:val="center"/>
              <w:rPr>
                <w:rFonts w:asciiTheme="minorEastAsia" w:hAnsiTheme="minorEastAsia" w:eastAsiaTheme="minorEastAsia"/>
              </w:rPr>
            </w:pPr>
            <w:r>
              <w:rPr>
                <w:rFonts w:hint="eastAsia" w:asciiTheme="minorEastAsia" w:hAnsiTheme="minorEastAsia" w:eastAsiaTheme="minorEastAsia"/>
              </w:rPr>
              <w:t>屏幕显示界面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autoSpaceDE w:val="0"/>
              <w:autoSpaceDN w:val="0"/>
              <w:adjustRightInd w:val="0"/>
              <w:spacing w:line="360" w:lineRule="auto"/>
              <w:jc w:val="center"/>
              <w:rPr>
                <w:rFonts w:asciiTheme="minorEastAsia" w:hAnsiTheme="minorEastAsia" w:eastAsiaTheme="minorEastAsia"/>
              </w:rPr>
            </w:pPr>
            <w:r>
              <w:rPr>
                <w:rFonts w:hint="eastAsia" w:asciiTheme="minorEastAsia" w:hAnsiTheme="minorEastAsia" w:eastAsiaTheme="minorEastAsia"/>
              </w:rPr>
              <w:t>1、根据现场情况选择堰型</w:t>
            </w:r>
          </w:p>
        </w:tc>
        <w:tc>
          <w:tcPr>
            <w:tcW w:w="8760" w:type="dxa"/>
          </w:tcPr>
          <w:p>
            <w:pPr>
              <w:autoSpaceDE w:val="0"/>
              <w:autoSpaceDN w:val="0"/>
              <w:adjustRightInd w:val="0"/>
              <w:spacing w:line="360" w:lineRule="auto"/>
              <w:jc w:val="center"/>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eastAsia="zh-CN"/>
              </w:rPr>
              <w:drawing>
                <wp:inline distT="0" distB="0" distL="114300" distR="114300">
                  <wp:extent cx="5137785" cy="2519045"/>
                  <wp:effectExtent l="0" t="0" r="13335" b="10795"/>
                  <wp:docPr id="20" name="图片 20"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2"/>
                          <pic:cNvPicPr>
                            <a:picLocks noChangeAspect="1"/>
                          </pic:cNvPicPr>
                        </pic:nvPicPr>
                        <pic:blipFill>
                          <a:blip r:embed="rId14"/>
                          <a:stretch>
                            <a:fillRect/>
                          </a:stretch>
                        </pic:blipFill>
                        <pic:spPr>
                          <a:xfrm>
                            <a:off x="0" y="0"/>
                            <a:ext cx="5137785" cy="2519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696" w:type="dxa"/>
          </w:tcPr>
          <w:p>
            <w:pPr>
              <w:autoSpaceDE w:val="0"/>
              <w:autoSpaceDN w:val="0"/>
              <w:adjustRightInd w:val="0"/>
              <w:spacing w:line="360" w:lineRule="auto"/>
              <w:jc w:val="left"/>
              <w:rPr>
                <w:rFonts w:asciiTheme="minorEastAsia" w:hAnsiTheme="minorEastAsia" w:eastAsiaTheme="minorEastAsia"/>
              </w:rPr>
            </w:pPr>
            <w:r>
              <w:rPr>
                <w:rFonts w:hint="eastAsia" w:asciiTheme="minorEastAsia" w:hAnsiTheme="minorEastAsia" w:eastAsiaTheme="minorEastAsia"/>
              </w:rPr>
              <w:t>2、输入对应位置的尺寸参数</w:t>
            </w:r>
          </w:p>
        </w:tc>
        <w:tc>
          <w:tcPr>
            <w:tcW w:w="8760" w:type="dxa"/>
          </w:tcPr>
          <w:p>
            <w:pPr>
              <w:autoSpaceDE w:val="0"/>
              <w:autoSpaceDN w:val="0"/>
              <w:adjustRightInd w:val="0"/>
              <w:spacing w:line="360" w:lineRule="auto"/>
              <w:jc w:val="left"/>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eastAsia="zh-CN"/>
              </w:rPr>
              <w:drawing>
                <wp:inline distT="0" distB="0" distL="114300" distR="114300">
                  <wp:extent cx="5191760" cy="2877820"/>
                  <wp:effectExtent l="0" t="0" r="5080" b="2540"/>
                  <wp:docPr id="21" name="图片 21"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2"/>
                          <pic:cNvPicPr>
                            <a:picLocks noChangeAspect="1"/>
                          </pic:cNvPicPr>
                        </pic:nvPicPr>
                        <pic:blipFill>
                          <a:blip r:embed="rId15"/>
                          <a:stretch>
                            <a:fillRect/>
                          </a:stretch>
                        </pic:blipFill>
                        <pic:spPr>
                          <a:xfrm>
                            <a:off x="0" y="0"/>
                            <a:ext cx="5191760" cy="2877820"/>
                          </a:xfrm>
                          <a:prstGeom prst="rect">
                            <a:avLst/>
                          </a:prstGeom>
                        </pic:spPr>
                      </pic:pic>
                    </a:graphicData>
                  </a:graphic>
                </wp:inline>
              </w:drawing>
            </w:r>
          </w:p>
        </w:tc>
      </w:tr>
    </w:tbl>
    <w:p>
      <w:pPr>
        <w:pStyle w:val="2"/>
        <w:numPr>
          <w:ilvl w:val="0"/>
          <w:numId w:val="0"/>
        </w:numPr>
        <w:rPr>
          <w:rFonts w:hint="default"/>
          <w:lang w:val="en-US" w:eastAsia="zh-CN"/>
        </w:rPr>
      </w:pPr>
    </w:p>
    <w:p>
      <w:pPr>
        <w:pStyle w:val="2"/>
        <w:numPr>
          <w:ilvl w:val="0"/>
          <w:numId w:val="2"/>
        </w:numPr>
        <w:rPr>
          <w:rFonts w:hint="default"/>
          <w:b/>
          <w:bCs/>
          <w:sz w:val="32"/>
          <w:szCs w:val="40"/>
          <w:lang w:val="en-US" w:eastAsia="zh-CN"/>
        </w:rPr>
      </w:pPr>
      <w:r>
        <w:rPr>
          <w:rFonts w:hint="eastAsia"/>
          <w:lang w:val="en-US" w:eastAsia="zh-CN"/>
        </w:rPr>
        <w:t>设置现场液位计参数</w:t>
      </w:r>
      <w:r>
        <w:rPr>
          <w:rFonts w:hint="eastAsia"/>
          <w:b/>
          <w:bCs/>
          <w:sz w:val="32"/>
          <w:szCs w:val="40"/>
          <w:lang w:val="en-US" w:eastAsia="zh-CN"/>
        </w:rPr>
        <w:t>（密码100000）</w:t>
      </w:r>
    </w:p>
    <w:p>
      <w:pPr>
        <w:pStyle w:val="2"/>
        <w:widowControl w:val="0"/>
        <w:numPr>
          <w:ilvl w:val="0"/>
          <w:numId w:val="0"/>
        </w:numPr>
        <w:spacing w:after="120" w:afterLines="0" w:afterAutospacing="0"/>
        <w:jc w:val="both"/>
        <w:rPr>
          <w:rFonts w:hint="default"/>
          <w:lang w:val="en-US" w:eastAsia="zh-CN"/>
        </w:rPr>
      </w:pPr>
      <w:r>
        <w:rPr>
          <w:rFonts w:hint="default"/>
          <w:lang w:val="en-US" w:eastAsia="zh-CN"/>
        </w:rPr>
        <w:drawing>
          <wp:inline distT="0" distB="0" distL="114300" distR="114300">
            <wp:extent cx="4997450" cy="2832100"/>
            <wp:effectExtent l="0" t="0" r="1270" b="2540"/>
            <wp:docPr id="27" name="图片 27"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2"/>
                    <pic:cNvPicPr>
                      <a:picLocks noChangeAspect="1"/>
                    </pic:cNvPicPr>
                  </pic:nvPicPr>
                  <pic:blipFill>
                    <a:blip r:embed="rId16"/>
                    <a:stretch>
                      <a:fillRect/>
                    </a:stretch>
                  </pic:blipFill>
                  <pic:spPr>
                    <a:xfrm>
                      <a:off x="0" y="0"/>
                      <a:ext cx="4997450" cy="2832100"/>
                    </a:xfrm>
                    <a:prstGeom prst="rect">
                      <a:avLst/>
                    </a:prstGeom>
                  </pic:spPr>
                </pic:pic>
              </a:graphicData>
            </a:graphic>
          </wp:inline>
        </w:drawing>
      </w:r>
    </w:p>
    <w:p>
      <w:pPr>
        <w:pStyle w:val="2"/>
        <w:widowControl w:val="0"/>
        <w:numPr>
          <w:ilvl w:val="0"/>
          <w:numId w:val="0"/>
        </w:numPr>
        <w:spacing w:after="120" w:afterLines="0" w:afterAutospacing="0"/>
        <w:jc w:val="both"/>
        <w:rPr>
          <w:rFonts w:hint="eastAsia"/>
          <w:lang w:val="en-US" w:eastAsia="zh-CN"/>
        </w:rPr>
      </w:pPr>
      <w:r>
        <w:rPr>
          <w:rFonts w:hint="eastAsia"/>
          <w:lang w:val="en-US" w:eastAsia="zh-CN"/>
        </w:rPr>
        <w:t>安装高度：液位计探头底部到槽底部之间距离（即下图OC）</w:t>
      </w:r>
    </w:p>
    <w:p>
      <w:pPr>
        <w:pStyle w:val="2"/>
        <w:widowControl w:val="0"/>
        <w:numPr>
          <w:ilvl w:val="0"/>
          <w:numId w:val="0"/>
        </w:numPr>
        <w:spacing w:after="120" w:afterLines="0" w:afterAutospacing="0"/>
        <w:jc w:val="both"/>
        <w:rPr>
          <w:rFonts w:hint="default"/>
          <w:lang w:val="en-US" w:eastAsia="zh-CN"/>
        </w:rPr>
      </w:pPr>
      <w:r>
        <w:rPr>
          <w:rFonts w:hint="eastAsia"/>
          <w:lang w:val="en-US" w:eastAsia="zh-CN"/>
        </w:rPr>
        <w:t>水位偏移：修正值</w:t>
      </w:r>
    </w:p>
    <w:p>
      <w:pPr>
        <w:pStyle w:val="2"/>
        <w:widowControl w:val="0"/>
        <w:numPr>
          <w:ilvl w:val="0"/>
          <w:numId w:val="0"/>
        </w:numPr>
        <w:spacing w:after="120" w:afterLines="0" w:afterAutospacing="0"/>
        <w:jc w:val="both"/>
        <w:rPr>
          <w:rFonts w:hint="eastAsia"/>
          <w:lang w:val="en-US" w:eastAsia="zh-CN"/>
        </w:rPr>
      </w:pPr>
      <w:r>
        <w:rPr>
          <w:rFonts w:hint="eastAsia"/>
          <w:lang w:val="en-US" w:eastAsia="zh-CN"/>
        </w:rPr>
        <w:t>根据上面参数自动计算出当前液位及瞬时流量（需要在测量主菜单点击启动才会自动计算）</w:t>
      </w:r>
    </w:p>
    <w:p>
      <w:pPr>
        <w:pStyle w:val="2"/>
        <w:widowControl w:val="0"/>
        <w:numPr>
          <w:ilvl w:val="0"/>
          <w:numId w:val="0"/>
        </w:numPr>
        <w:spacing w:after="120" w:afterLines="0" w:afterAutospacing="0"/>
        <w:jc w:val="both"/>
        <w:rPr>
          <w:rFonts w:hint="default"/>
          <w:lang w:val="en-US" w:eastAsia="zh-CN"/>
        </w:rPr>
      </w:pPr>
      <w:r>
        <w:rPr>
          <w:rFonts w:hint="eastAsia"/>
          <w:lang w:val="en-US" w:eastAsia="zh-CN"/>
        </w:rPr>
        <w:t>当前液位：即FC</w:t>
      </w:r>
    </w:p>
    <w:p>
      <w:pPr>
        <w:pStyle w:val="2"/>
        <w:widowControl w:val="0"/>
        <w:numPr>
          <w:ilvl w:val="0"/>
          <w:numId w:val="0"/>
        </w:numPr>
        <w:spacing w:after="120" w:afterLines="0" w:afterAutospacing="0"/>
        <w:jc w:val="both"/>
        <w:rPr>
          <w:rFonts w:hint="default"/>
          <w:lang w:val="en-US" w:eastAsia="zh-CN"/>
        </w:rPr>
      </w:pPr>
      <w:r>
        <w:drawing>
          <wp:inline distT="0" distB="0" distL="114300" distR="114300">
            <wp:extent cx="5142230" cy="2669540"/>
            <wp:effectExtent l="0" t="0" r="8890" b="1270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7"/>
                    <a:stretch>
                      <a:fillRect/>
                    </a:stretch>
                  </pic:blipFill>
                  <pic:spPr>
                    <a:xfrm>
                      <a:off x="0" y="0"/>
                      <a:ext cx="5142230" cy="2669540"/>
                    </a:xfrm>
                    <a:prstGeom prst="rect">
                      <a:avLst/>
                    </a:prstGeom>
                    <a:noFill/>
                    <a:ln>
                      <a:noFill/>
                    </a:ln>
                  </pic:spPr>
                </pic:pic>
              </a:graphicData>
            </a:graphic>
          </wp:inline>
        </w:drawing>
      </w:r>
    </w:p>
    <w:p>
      <w:pPr>
        <w:pStyle w:val="2"/>
        <w:numPr>
          <w:ilvl w:val="0"/>
          <w:numId w:val="2"/>
        </w:numPr>
        <w:rPr>
          <w:rFonts w:hint="default"/>
          <w:lang w:val="en-US" w:eastAsia="zh-CN"/>
        </w:rPr>
      </w:pPr>
      <w:r>
        <w:rPr>
          <w:rFonts w:hint="eastAsia"/>
          <w:lang w:val="en-US" w:eastAsia="zh-CN"/>
        </w:rPr>
        <w:t>之前参数设置完成，点击启动，</w:t>
      </w:r>
      <w:r>
        <w:rPr>
          <w:rFonts w:hint="eastAsia" w:cs="宋体" w:asciiTheme="minorEastAsia" w:hAnsiTheme="minorEastAsia" w:eastAsiaTheme="minorEastAsia"/>
          <w:kern w:val="0"/>
          <w:szCs w:val="21"/>
        </w:rPr>
        <w:t>便携流量计会连续的记录现场6个液位数据</w:t>
      </w:r>
      <w:r>
        <w:rPr>
          <w:rFonts w:hint="eastAsia" w:cs="宋体" w:asciiTheme="minorEastAsia" w:hAnsiTheme="minorEastAsia" w:eastAsiaTheme="minorEastAsia"/>
          <w:kern w:val="0"/>
          <w:szCs w:val="21"/>
          <w:lang w:val="en-US" w:eastAsia="zh-CN"/>
        </w:rPr>
        <w:t>以及</w:t>
      </w:r>
      <w:r>
        <w:rPr>
          <w:rFonts w:hint="eastAsia" w:cs="宋体" w:asciiTheme="minorEastAsia" w:hAnsiTheme="minorEastAsia" w:eastAsiaTheme="minorEastAsia"/>
          <w:kern w:val="0"/>
          <w:szCs w:val="21"/>
        </w:rPr>
        <w:t>会连续的累计现场的流量数据</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rPr>
        <w:t>记录完毕以后自动停止。</w:t>
      </w:r>
      <w:r>
        <w:rPr>
          <w:rFonts w:hint="eastAsia"/>
          <w:lang w:val="en-US" w:eastAsia="zh-CN"/>
        </w:rPr>
        <w:t>（如下图）</w:t>
      </w:r>
    </w:p>
    <w:p>
      <w:pPr>
        <w:pStyle w:val="2"/>
        <w:numPr>
          <w:ilvl w:val="0"/>
          <w:numId w:val="0"/>
        </w:numPr>
        <w:rPr>
          <w:rFonts w:hint="default"/>
          <w:lang w:val="en-US" w:eastAsia="zh-CN"/>
        </w:rPr>
      </w:pPr>
      <w:r>
        <w:rPr>
          <w:rFonts w:hint="default"/>
          <w:lang w:val="en-US" w:eastAsia="zh-CN"/>
        </w:rPr>
        <w:drawing>
          <wp:inline distT="0" distB="0" distL="114300" distR="114300">
            <wp:extent cx="5245735" cy="2573655"/>
            <wp:effectExtent l="0" t="0" r="12065" b="1905"/>
            <wp:docPr id="14" name="图片 14" descr="167645003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6450034366"/>
                    <pic:cNvPicPr>
                      <a:picLocks noChangeAspect="1"/>
                    </pic:cNvPicPr>
                  </pic:nvPicPr>
                  <pic:blipFill>
                    <a:blip r:embed="rId18"/>
                    <a:stretch>
                      <a:fillRect/>
                    </a:stretch>
                  </pic:blipFill>
                  <pic:spPr>
                    <a:xfrm>
                      <a:off x="0" y="0"/>
                      <a:ext cx="5245735" cy="2573655"/>
                    </a:xfrm>
                    <a:prstGeom prst="rect">
                      <a:avLst/>
                    </a:prstGeom>
                  </pic:spPr>
                </pic:pic>
              </a:graphicData>
            </a:graphic>
          </wp:inline>
        </w:drawing>
      </w:r>
    </w:p>
    <w:p>
      <w:pPr>
        <w:pStyle w:val="2"/>
        <w:numPr>
          <w:ilvl w:val="0"/>
          <w:numId w:val="2"/>
        </w:numPr>
        <w:rPr>
          <w:rFonts w:hint="default"/>
          <w:lang w:val="en-US" w:eastAsia="zh-CN"/>
        </w:rPr>
      </w:pPr>
      <w:r>
        <w:rPr>
          <w:rFonts w:hint="eastAsia"/>
          <w:lang w:val="en-US" w:eastAsia="zh-CN"/>
        </w:rPr>
        <w:t>待到记录完成时候，输入六个时间段内在线明渠所测得的液位以及连续累计现场的流量。</w:t>
      </w:r>
    </w:p>
    <w:p>
      <w:pPr>
        <w:pStyle w:val="2"/>
        <w:widowControl w:val="0"/>
        <w:numPr>
          <w:ilvl w:val="0"/>
          <w:numId w:val="0"/>
        </w:numPr>
        <w:spacing w:after="120" w:afterLines="0" w:afterAutospacing="0"/>
        <w:jc w:val="both"/>
        <w:rPr>
          <w:rFonts w:hint="default"/>
          <w:lang w:val="en-US" w:eastAsia="zh-CN"/>
        </w:rPr>
      </w:pPr>
      <w:r>
        <w:rPr>
          <w:rFonts w:hint="default"/>
          <w:lang w:val="en-US" w:eastAsia="zh-CN"/>
        </w:rPr>
        <w:drawing>
          <wp:inline distT="0" distB="0" distL="114300" distR="114300">
            <wp:extent cx="5100320" cy="2864485"/>
            <wp:effectExtent l="0" t="0" r="5080" b="635"/>
            <wp:docPr id="15" name="图片 15" descr="167645003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6450034366"/>
                    <pic:cNvPicPr>
                      <a:picLocks noChangeAspect="1"/>
                    </pic:cNvPicPr>
                  </pic:nvPicPr>
                  <pic:blipFill>
                    <a:blip r:embed="rId19"/>
                    <a:stretch>
                      <a:fillRect/>
                    </a:stretch>
                  </pic:blipFill>
                  <pic:spPr>
                    <a:xfrm>
                      <a:off x="0" y="0"/>
                      <a:ext cx="5100320" cy="2864485"/>
                    </a:xfrm>
                    <a:prstGeom prst="rect">
                      <a:avLst/>
                    </a:prstGeom>
                  </pic:spPr>
                </pic:pic>
              </a:graphicData>
            </a:graphic>
          </wp:inline>
        </w:drawing>
      </w:r>
    </w:p>
    <w:p>
      <w:pPr>
        <w:pStyle w:val="2"/>
        <w:numPr>
          <w:ilvl w:val="0"/>
          <w:numId w:val="2"/>
        </w:numPr>
        <w:rPr>
          <w:rFonts w:hint="default"/>
          <w:lang w:val="en-US" w:eastAsia="zh-CN"/>
        </w:rPr>
      </w:pPr>
      <w:r>
        <w:rPr>
          <w:rFonts w:hint="eastAsia"/>
          <w:lang w:val="en-US" w:eastAsia="zh-CN"/>
        </w:rPr>
        <w:t>输入参数之后，仪表会自动计算液位的相对误差、液位误差以及流量误差。</w:t>
      </w:r>
    </w:p>
    <w:p>
      <w:pPr>
        <w:pStyle w:val="2"/>
        <w:widowControl w:val="0"/>
        <w:numPr>
          <w:ilvl w:val="0"/>
          <w:numId w:val="0"/>
        </w:numPr>
        <w:spacing w:after="120" w:afterLines="0" w:afterAutospacing="0"/>
        <w:jc w:val="both"/>
        <w:rPr>
          <w:rFonts w:hint="default"/>
          <w:lang w:val="en-US" w:eastAsia="zh-CN"/>
        </w:rPr>
      </w:pPr>
      <w:r>
        <w:drawing>
          <wp:inline distT="0" distB="0" distL="114300" distR="114300">
            <wp:extent cx="5131435" cy="2946400"/>
            <wp:effectExtent l="0" t="0" r="4445"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a:stretch>
                      <a:fillRect/>
                    </a:stretch>
                  </pic:blipFill>
                  <pic:spPr>
                    <a:xfrm>
                      <a:off x="0" y="0"/>
                      <a:ext cx="5131435" cy="2946400"/>
                    </a:xfrm>
                    <a:prstGeom prst="rect">
                      <a:avLst/>
                    </a:prstGeom>
                    <a:noFill/>
                    <a:ln>
                      <a:noFill/>
                    </a:ln>
                  </pic:spPr>
                </pic:pic>
              </a:graphicData>
            </a:graphic>
          </wp:inline>
        </w:drawing>
      </w:r>
    </w:p>
    <w:p>
      <w:pPr>
        <w:pStyle w:val="2"/>
        <w:numPr>
          <w:ilvl w:val="0"/>
          <w:numId w:val="2"/>
        </w:numPr>
        <w:rPr>
          <w:rFonts w:hint="default"/>
          <w:lang w:val="en-US" w:eastAsia="zh-CN"/>
        </w:rPr>
      </w:pPr>
      <w:r>
        <w:rPr>
          <w:rFonts w:hint="eastAsia"/>
          <w:lang w:val="en-US" w:eastAsia="zh-CN"/>
        </w:rPr>
        <w:t xml:space="preserve">数据对比之后点击保存，保存之后查看数据则在检测点信息里面查询，如需打印则点击打印输出（打印机需与主机相连，点击打印机POWER开关进行开机）。 </w:t>
      </w:r>
    </w:p>
    <w:p>
      <w:pPr>
        <w:pStyle w:val="2"/>
        <w:numPr>
          <w:ilvl w:val="0"/>
          <w:numId w:val="0"/>
        </w:numPr>
        <w:rPr>
          <w:rFonts w:hint="default"/>
          <w:lang w:val="en-US" w:eastAsia="zh-CN"/>
        </w:rPr>
      </w:pPr>
      <w:r>
        <w:rPr>
          <w:rFonts w:hint="default"/>
          <w:lang w:val="en-US" w:eastAsia="zh-CN"/>
        </w:rPr>
        <w:drawing>
          <wp:inline distT="0" distB="0" distL="114300" distR="114300">
            <wp:extent cx="2310130" cy="5142230"/>
            <wp:effectExtent l="0" t="0" r="8890" b="6350"/>
            <wp:docPr id="19" name="图片 19" descr="50fb56193c88bf69b5b914fec3c6dcf"/>
            <wp:cNvGraphicFramePr/>
            <a:graphic xmlns:a="http://schemas.openxmlformats.org/drawingml/2006/main">
              <a:graphicData uri="http://schemas.openxmlformats.org/drawingml/2006/picture">
                <pic:pic xmlns:pic="http://schemas.openxmlformats.org/drawingml/2006/picture">
                  <pic:nvPicPr>
                    <pic:cNvPr id="19" name="图片 19" descr="50fb56193c88bf69b5b914fec3c6dcf"/>
                    <pic:cNvPicPr/>
                  </pic:nvPicPr>
                  <pic:blipFill>
                    <a:blip r:embed="rId21"/>
                    <a:srcRect t="18340" r="25124" b="25226"/>
                    <a:stretch>
                      <a:fillRect/>
                    </a:stretch>
                  </pic:blipFill>
                  <pic:spPr>
                    <a:xfrm rot="5400000">
                      <a:off x="0" y="0"/>
                      <a:ext cx="2310130" cy="5142230"/>
                    </a:xfrm>
                    <a:prstGeom prst="rect">
                      <a:avLst/>
                    </a:prstGeom>
                  </pic:spPr>
                </pic:pic>
              </a:graphicData>
            </a:graphic>
          </wp:inline>
        </w:drawing>
      </w:r>
    </w:p>
    <w:p>
      <w:pPr>
        <w:pStyle w:val="2"/>
        <w:numPr>
          <w:ilvl w:val="0"/>
          <w:numId w:val="0"/>
        </w:numPr>
        <w:rPr>
          <w:rFonts w:hint="default"/>
          <w:lang w:val="en-US" w:eastAsia="zh-CN"/>
        </w:rPr>
      </w:pPr>
      <w:r>
        <w:rPr>
          <w:rFonts w:hint="eastAsia" w:cs="宋体" w:asciiTheme="minorEastAsia" w:hAnsiTheme="minorEastAsia" w:eastAsiaTheme="minorEastAsia"/>
          <w:kern w:val="0"/>
          <w:szCs w:val="21"/>
          <w:lang w:val="en-US" w:eastAsia="zh-CN"/>
        </w:rPr>
        <w:t xml:space="preserve">  </w:t>
      </w:r>
      <w:r>
        <w:rPr>
          <w:rFonts w:hint="default"/>
          <w:lang w:val="en-US" w:eastAsia="zh-CN"/>
        </w:rPr>
        <w:drawing>
          <wp:inline distT="0" distB="0" distL="114300" distR="114300">
            <wp:extent cx="3562985" cy="6744335"/>
            <wp:effectExtent l="0" t="0" r="5715" b="12065"/>
            <wp:docPr id="18" name="图片 18" descr="599d905b139b357cd7945b12e58f320"/>
            <wp:cNvGraphicFramePr/>
            <a:graphic xmlns:a="http://schemas.openxmlformats.org/drawingml/2006/main">
              <a:graphicData uri="http://schemas.openxmlformats.org/drawingml/2006/picture">
                <pic:pic xmlns:pic="http://schemas.openxmlformats.org/drawingml/2006/picture">
                  <pic:nvPicPr>
                    <pic:cNvPr id="18" name="图片 18" descr="599d905b139b357cd7945b12e58f320"/>
                    <pic:cNvPicPr/>
                  </pic:nvPicPr>
                  <pic:blipFill>
                    <a:blip r:embed="rId22"/>
                    <a:stretch>
                      <a:fillRect/>
                    </a:stretch>
                  </pic:blipFill>
                  <pic:spPr>
                    <a:xfrm>
                      <a:off x="0" y="0"/>
                      <a:ext cx="3562985" cy="6744335"/>
                    </a:xfrm>
                    <a:prstGeom prst="rect">
                      <a:avLst/>
                    </a:prstGeom>
                  </pic:spPr>
                </pic:pic>
              </a:graphicData>
            </a:graphic>
          </wp:inline>
        </w:drawing>
      </w:r>
    </w:p>
    <w:p>
      <w:pPr>
        <w:pStyle w:val="4"/>
      </w:pPr>
      <w:r>
        <w:rPr>
          <w:rFonts w:hint="eastAsia"/>
        </w:rPr>
        <w:t>3、关于数据的准确性</w:t>
      </w:r>
    </w:p>
    <w:p>
      <w:pPr>
        <w:autoSpaceDE w:val="0"/>
        <w:autoSpaceDN w:val="0"/>
        <w:adjustRightInd w:val="0"/>
        <w:spacing w:line="360" w:lineRule="auto"/>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明渠堰槽流量计的</w:t>
      </w:r>
      <w:r>
        <w:rPr>
          <w:rFonts w:hint="eastAsia" w:asciiTheme="minorEastAsia" w:hAnsiTheme="minorEastAsia" w:eastAsiaTheme="minorEastAsia"/>
          <w:szCs w:val="21"/>
        </w:rPr>
        <w:t>工作原理是在明渠中设置标准的量水堰槽，使流过堰槽的水的流量与水位呈单值关系，并按规定的位置测量水位，通过相应的公式计算出流量。根据原理可知，流量计测量的水的流量准确性，除了现场需要有规范的量水堰槽以外，流量只与水位高度呈单值关系，</w:t>
      </w:r>
      <w:r>
        <w:rPr>
          <w:rFonts w:hint="eastAsia" w:cs="宋体" w:asciiTheme="minorEastAsia" w:hAnsiTheme="minorEastAsia" w:eastAsiaTheme="minorEastAsia"/>
          <w:kern w:val="0"/>
          <w:szCs w:val="21"/>
        </w:rPr>
        <w:t>因此，水位的准确性是流量检测的关键，我们采用的液位计是</w:t>
      </w:r>
      <w:r>
        <w:rPr>
          <w:rFonts w:hint="eastAsia" w:cs="宋体" w:asciiTheme="minorEastAsia" w:hAnsiTheme="minorEastAsia" w:eastAsiaTheme="minorEastAsia"/>
          <w:color w:val="auto"/>
          <w:kern w:val="0"/>
          <w:szCs w:val="21"/>
          <w:lang w:val="en-US" w:eastAsia="zh-CN"/>
        </w:rPr>
        <w:t>雷达水位计</w:t>
      </w:r>
      <w:r>
        <w:rPr>
          <w:rFonts w:hint="eastAsia" w:cs="宋体" w:asciiTheme="minorEastAsia" w:hAnsiTheme="minorEastAsia" w:eastAsiaTheme="minorEastAsia"/>
          <w:kern w:val="0"/>
          <w:szCs w:val="21"/>
        </w:rPr>
        <w:t>，这款液位计无论在数据的准确性，还是产品的抗干扰耐腐蚀性，都能满足现场测量的需求。</w:t>
      </w:r>
    </w:p>
    <w:p>
      <w:pPr>
        <w:autoSpaceDE w:val="0"/>
        <w:autoSpaceDN w:val="0"/>
        <w:adjustRightInd w:val="0"/>
        <w:spacing w:line="360" w:lineRule="auto"/>
        <w:ind w:firstLine="420" w:firstLineChars="200"/>
        <w:jc w:val="left"/>
        <w:rPr>
          <w:rFonts w:hint="eastAsia" w:eastAsiaTheme="minorEastAsia"/>
          <w:lang w:eastAsia="zh-CN"/>
        </w:rPr>
      </w:pPr>
      <w:r>
        <w:rPr>
          <w:rFonts w:hint="eastAsia" w:cs="宋体" w:asciiTheme="minorEastAsia" w:hAnsiTheme="minorEastAsia" w:eastAsiaTheme="minorEastAsia"/>
          <w:kern w:val="0"/>
          <w:szCs w:val="21"/>
        </w:rPr>
        <w:t>有了准确的液位检测，对于计算公式，我们充分的研究了《JJG711-1990 明渠堰槽流量计检定规程》，对测量数据做了大量的比对工作，经过实验说明，便携式明渠流量计根据检定规程的计算没有误差。</w:t>
      </w:r>
    </w:p>
    <w:p>
      <w:pPr>
        <w:autoSpaceDE w:val="0"/>
        <w:autoSpaceDN w:val="0"/>
        <w:adjustRightInd w:val="0"/>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实验数据：</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48"/>
        <w:gridCol w:w="1348"/>
        <w:gridCol w:w="1315"/>
        <w:gridCol w:w="1321"/>
        <w:gridCol w:w="1258"/>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堰型</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液位落差p（mm）</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渠宽B（mm）</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堰宽b（mm）</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液位h（mm）</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J</w:t>
            </w:r>
            <w:r>
              <w:rPr>
                <w:rFonts w:ascii="楷体" w:hAnsi="楷体" w:eastAsia="楷体" w:cs="宋体"/>
                <w:kern w:val="0"/>
                <w:szCs w:val="21"/>
              </w:rPr>
              <w:t>JG711</w:t>
            </w:r>
            <w:r>
              <w:rPr>
                <w:rFonts w:hint="eastAsia" w:ascii="楷体" w:hAnsi="楷体" w:eastAsia="楷体" w:cs="宋体"/>
                <w:kern w:val="0"/>
                <w:szCs w:val="21"/>
              </w:rPr>
              <w:t>（m</w:t>
            </w:r>
            <w:r>
              <w:rPr>
                <w:rFonts w:hint="eastAsia" w:ascii="楷体" w:hAnsi="楷体" w:eastAsia="楷体" w:cs="宋体"/>
                <w:kern w:val="0"/>
                <w:szCs w:val="21"/>
                <w:vertAlign w:val="superscript"/>
              </w:rPr>
              <w:t>3</w:t>
            </w:r>
            <w:r>
              <w:rPr>
                <w:rFonts w:hint="eastAsia" w:ascii="楷体" w:hAnsi="楷体" w:eastAsia="楷体" w:cs="宋体"/>
                <w:kern w:val="0"/>
                <w:szCs w:val="21"/>
              </w:rPr>
              <w:t>）</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流量计（m</w:t>
            </w:r>
            <w:r>
              <w:rPr>
                <w:rFonts w:hint="eastAsia" w:ascii="楷体" w:hAnsi="楷体" w:eastAsia="楷体" w:cs="宋体"/>
                <w:kern w:val="0"/>
                <w:szCs w:val="21"/>
                <w:vertAlign w:val="superscript"/>
              </w:rPr>
              <w:t>3</w:t>
            </w:r>
            <w:r>
              <w:rPr>
                <w:rFonts w:hint="eastAsia" w:ascii="楷体" w:hAnsi="楷体" w:eastAsia="楷体" w:cs="宋体"/>
                <w:kern w:val="0"/>
                <w:szCs w:val="21"/>
              </w:rPr>
              <w:t>）</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三角堰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500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100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2.649</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2.649</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矩形堰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500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200</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100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6.841</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6.841</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等宽堰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500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100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18.340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18.340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巴歇尔槽</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200</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100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8.342</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8.342</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三角堰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300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600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150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7.287</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7.287</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矩形堰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300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600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300</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150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18.793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18.793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等宽堰</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300</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600</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150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40.193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40.193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巴歇尔槽</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4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w:t>
            </w:r>
          </w:p>
        </w:tc>
        <w:tc>
          <w:tcPr>
            <w:tcW w:w="1315"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300</w:t>
            </w:r>
          </w:p>
        </w:tc>
        <w:tc>
          <w:tcPr>
            <w:tcW w:w="1321"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150</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22.773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22.773</w:t>
            </w:r>
          </w:p>
        </w:tc>
        <w:tc>
          <w:tcPr>
            <w:tcW w:w="1258" w:type="dxa"/>
          </w:tcPr>
          <w:p>
            <w:pPr>
              <w:autoSpaceDE w:val="0"/>
              <w:autoSpaceDN w:val="0"/>
              <w:adjustRightInd w:val="0"/>
              <w:spacing w:line="360" w:lineRule="auto"/>
              <w:jc w:val="center"/>
              <w:rPr>
                <w:rFonts w:ascii="楷体" w:hAnsi="楷体" w:eastAsia="楷体" w:cs="宋体"/>
                <w:kern w:val="0"/>
                <w:szCs w:val="21"/>
              </w:rPr>
            </w:pPr>
            <w:r>
              <w:rPr>
                <w:rFonts w:hint="eastAsia" w:ascii="楷体" w:hAnsi="楷体" w:eastAsia="楷体" w:cs="宋体"/>
                <w:kern w:val="0"/>
                <w:szCs w:val="21"/>
              </w:rPr>
              <w:t>0</w:t>
            </w:r>
          </w:p>
        </w:tc>
      </w:tr>
    </w:tbl>
    <w:p>
      <w:pPr>
        <w:autoSpaceDE w:val="0"/>
        <w:autoSpaceDN w:val="0"/>
        <w:adjustRightInd w:val="0"/>
        <w:spacing w:line="360" w:lineRule="auto"/>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另外，在产品出厂前，我们会为每一台便携流量计配有一个有资质部门出具的的检验校准报告，进一步说明流量计测量数据的准确性与合法性。</w:t>
      </w:r>
    </w:p>
    <w:p>
      <w:pPr>
        <w:rPr>
          <w:rFonts w:hint="eastAsia"/>
        </w:rPr>
      </w:pPr>
      <w:r>
        <w:rPr>
          <w:rFonts w:hint="eastAsia"/>
        </w:rPr>
        <w:br w:type="page"/>
      </w:r>
    </w:p>
    <w:p>
      <w:pPr>
        <w:pStyle w:val="4"/>
      </w:pPr>
      <w:r>
        <w:rPr>
          <w:rFonts w:hint="eastAsia"/>
        </w:rPr>
        <w:t>4、产品主要功能特点及性能指标</w:t>
      </w:r>
    </w:p>
    <w:p>
      <w:pPr>
        <w:pStyle w:val="5"/>
        <w:rPr>
          <w:rFonts w:hint="eastAsia"/>
          <w:lang w:val="en-US" w:eastAsia="zh-CN"/>
        </w:rPr>
      </w:pPr>
      <w:r>
        <w:rPr>
          <w:rFonts w:hint="eastAsia"/>
        </w:rPr>
        <w:t>4</w:t>
      </w:r>
      <w:r>
        <w:t xml:space="preserve">.1 </w:t>
      </w:r>
      <w:r>
        <w:rPr>
          <w:rFonts w:hint="eastAsia"/>
          <w:lang w:val="en-US" w:eastAsia="zh-CN"/>
        </w:rPr>
        <w:t>便携式明渠流量计</w:t>
      </w:r>
    </w:p>
    <w:p>
      <w:pPr>
        <w:rPr>
          <w:rFonts w:hint="default"/>
          <w:lang w:val="en-US" w:eastAsia="zh-CN"/>
        </w:rPr>
      </w:pPr>
      <w:r>
        <w:rPr>
          <w:rFonts w:hint="eastAsia"/>
          <w:lang w:val="en-US" w:eastAsia="zh-CN"/>
        </w:rPr>
        <w:t>1、特点：</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适应于四种基本堰型：三角堰、 矩形堰、 等宽堰、 巴歇尔槽；</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高精度信号采集模块，测量数据真实有效；</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大屏幕彩色液晶触摸屏，触控操作，关键数据密码保护；</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曲线显示流量变化趋势及液位变化趋势；</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友好的人机交互界面，图文结合，无需专业知识即可对仪器进行操作；</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仪器带有微型打印机，可现场直接打印测量数据；</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可与电脑连接，将测量数据输出至电脑，便于用户对数据进行统计分析；</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可存储1</w:t>
      </w:r>
      <w:r>
        <w:rPr>
          <w:rFonts w:ascii="楷体" w:hAnsi="楷体" w:eastAsia="楷体"/>
          <w:szCs w:val="21"/>
        </w:rPr>
        <w:t>0000</w:t>
      </w:r>
      <w:r>
        <w:rPr>
          <w:rFonts w:hint="eastAsia" w:ascii="楷体" w:hAnsi="楷体" w:eastAsia="楷体"/>
          <w:szCs w:val="21"/>
        </w:rPr>
        <w:t>次的测量历史记录</w:t>
      </w:r>
      <w:r>
        <w:rPr>
          <w:rFonts w:hint="eastAsia" w:ascii="楷体" w:hAnsi="楷体" w:eastAsia="楷体"/>
          <w:szCs w:val="21"/>
          <w:lang w:eastAsia="zh-CN"/>
        </w:rPr>
        <w:t>，</w:t>
      </w:r>
      <w:r>
        <w:rPr>
          <w:rFonts w:hint="eastAsia" w:ascii="楷体" w:hAnsi="楷体" w:eastAsia="楷体"/>
          <w:szCs w:val="21"/>
          <w:lang w:val="en-US" w:eastAsia="zh-CN"/>
        </w:rPr>
        <w:t>记录SD卡中</w:t>
      </w:r>
      <w:r>
        <w:rPr>
          <w:rFonts w:hint="eastAsia" w:ascii="楷体" w:hAnsi="楷体" w:eastAsia="楷体"/>
          <w:szCs w:val="21"/>
        </w:rPr>
        <w:t>；</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内含大容量锂电池，一次充电可连续测量</w:t>
      </w:r>
      <w:r>
        <w:rPr>
          <w:rFonts w:hint="eastAsia" w:ascii="楷体" w:hAnsi="楷体" w:eastAsia="楷体"/>
          <w:szCs w:val="21"/>
          <w:lang w:val="en-US" w:eastAsia="zh-CN"/>
        </w:rPr>
        <w:t>10</w:t>
      </w:r>
      <w:r>
        <w:rPr>
          <w:rFonts w:hint="eastAsia" w:ascii="楷体" w:hAnsi="楷体" w:eastAsia="楷体"/>
          <w:szCs w:val="21"/>
        </w:rPr>
        <w:t>小时；</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流量计内置智能化电源管理系统，延长电池使用寿命；</w:t>
      </w:r>
    </w:p>
    <w:p>
      <w:pPr>
        <w:pStyle w:val="18"/>
        <w:numPr>
          <w:ilvl w:val="0"/>
          <w:numId w:val="4"/>
        </w:numPr>
        <w:spacing w:line="276" w:lineRule="auto"/>
        <w:ind w:firstLineChars="0"/>
        <w:rPr>
          <w:rFonts w:ascii="楷体" w:hAnsi="楷体" w:eastAsia="楷体"/>
          <w:szCs w:val="21"/>
        </w:rPr>
      </w:pPr>
      <w:r>
        <w:rPr>
          <w:rFonts w:hint="eastAsia" w:ascii="楷体" w:hAnsi="楷体" w:eastAsia="楷体"/>
          <w:szCs w:val="21"/>
        </w:rPr>
        <w:t>手提箱式设计，整机重量轻，方便用户携带，防水等级I</w:t>
      </w:r>
      <w:r>
        <w:rPr>
          <w:rFonts w:ascii="楷体" w:hAnsi="楷体" w:eastAsia="楷体"/>
          <w:szCs w:val="21"/>
        </w:rPr>
        <w:t>P65</w:t>
      </w:r>
      <w:r>
        <w:rPr>
          <w:rFonts w:hint="eastAsia" w:ascii="楷体" w:hAnsi="楷体" w:eastAsia="楷体"/>
          <w:szCs w:val="21"/>
        </w:rPr>
        <w:t>；</w:t>
      </w:r>
    </w:p>
    <w:p>
      <w:pPr>
        <w:pStyle w:val="18"/>
        <w:numPr>
          <w:ilvl w:val="0"/>
          <w:numId w:val="0"/>
        </w:numPr>
        <w:spacing w:line="276" w:lineRule="auto"/>
        <w:rPr>
          <w:rFonts w:hint="default" w:ascii="楷体" w:hAnsi="楷体" w:eastAsia="楷体"/>
          <w:sz w:val="22"/>
          <w:szCs w:val="22"/>
          <w:lang w:val="en-US" w:eastAsia="zh-CN"/>
        </w:rPr>
      </w:pPr>
      <w:r>
        <w:rPr>
          <w:rFonts w:hint="eastAsia" w:ascii="楷体" w:hAnsi="楷体" w:eastAsia="楷体"/>
          <w:sz w:val="22"/>
          <w:szCs w:val="22"/>
          <w:lang w:val="en-US" w:eastAsia="zh-CN"/>
        </w:rPr>
        <w:t>2、性能指标：</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流量测量范围：0~40m3/S；</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流量测量频次：</w:t>
      </w:r>
      <w:r>
        <w:rPr>
          <w:rFonts w:ascii="楷体" w:hAnsi="楷体" w:eastAsia="楷体"/>
          <w:szCs w:val="21"/>
        </w:rPr>
        <w:t>3</w:t>
      </w:r>
      <w:r>
        <w:rPr>
          <w:rFonts w:hint="eastAsia" w:ascii="楷体" w:hAnsi="楷体" w:eastAsia="楷体"/>
          <w:szCs w:val="21"/>
        </w:rPr>
        <w:t>次/秒；</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流量测量误差：≤ ±5%；</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信号输出方式：</w:t>
      </w:r>
      <w:r>
        <w:rPr>
          <w:rFonts w:hint="eastAsia" w:ascii="楷体" w:hAnsi="楷体" w:eastAsia="楷体"/>
          <w:szCs w:val="21"/>
          <w:lang w:val="en-US" w:eastAsia="zh-CN"/>
        </w:rPr>
        <w:t>SD卡，打印机</w:t>
      </w:r>
      <w:r>
        <w:rPr>
          <w:rFonts w:hint="eastAsia" w:ascii="楷体" w:hAnsi="楷体" w:eastAsia="楷体"/>
          <w:szCs w:val="21"/>
        </w:rPr>
        <w:t>；</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工作环境湿度：≤ 85%；</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工作环境温度：—10℃~＋50℃；</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工作电源：AC 220V±10%；</w:t>
      </w:r>
      <w:r>
        <w:rPr>
          <w:rFonts w:hint="eastAsia" w:ascii="楷体" w:hAnsi="楷体" w:eastAsia="楷体"/>
          <w:szCs w:val="21"/>
          <w:lang w:eastAsia="zh-CN"/>
        </w:rPr>
        <w:t>（</w:t>
      </w:r>
      <w:r>
        <w:rPr>
          <w:rFonts w:hint="eastAsia" w:ascii="楷体" w:hAnsi="楷体" w:eastAsia="楷体"/>
          <w:szCs w:val="21"/>
          <w:lang w:val="en-US" w:eastAsia="zh-CN"/>
        </w:rPr>
        <w:t>充电器</w:t>
      </w:r>
      <w:r>
        <w:rPr>
          <w:rFonts w:hint="eastAsia" w:ascii="楷体" w:hAnsi="楷体" w:eastAsia="楷体"/>
          <w:szCs w:val="21"/>
          <w:lang w:eastAsia="zh-CN"/>
        </w:rPr>
        <w:t>）</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 xml:space="preserve">内置电池：DC </w:t>
      </w:r>
      <w:r>
        <w:rPr>
          <w:rFonts w:hint="eastAsia" w:ascii="楷体" w:hAnsi="楷体" w:eastAsia="楷体"/>
          <w:szCs w:val="21"/>
          <w:lang w:val="en-US" w:eastAsia="zh-CN"/>
        </w:rPr>
        <w:t>12.6</w:t>
      </w:r>
      <w:r>
        <w:rPr>
          <w:rFonts w:hint="eastAsia" w:ascii="楷体" w:hAnsi="楷体" w:eastAsia="楷体"/>
          <w:szCs w:val="21"/>
        </w:rPr>
        <w:t>锂电池,电池供电连续工作时间：</w:t>
      </w:r>
      <w:r>
        <w:rPr>
          <w:rFonts w:ascii="楷体" w:hAnsi="楷体" w:eastAsia="楷体"/>
          <w:szCs w:val="21"/>
        </w:rPr>
        <w:t>72</w:t>
      </w:r>
      <w:r>
        <w:rPr>
          <w:rFonts w:hint="eastAsia" w:ascii="楷体" w:hAnsi="楷体" w:eastAsia="楷体"/>
          <w:szCs w:val="21"/>
        </w:rPr>
        <w:t>小时；</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外形尺寸：400mm×</w:t>
      </w:r>
      <w:r>
        <w:rPr>
          <w:rFonts w:ascii="楷体" w:hAnsi="楷体" w:eastAsia="楷体"/>
          <w:szCs w:val="21"/>
        </w:rPr>
        <w:t>30</w:t>
      </w:r>
      <w:r>
        <w:rPr>
          <w:rFonts w:hint="eastAsia" w:ascii="楷体" w:hAnsi="楷体" w:eastAsia="楷体"/>
          <w:szCs w:val="21"/>
        </w:rPr>
        <w:t>0mm×1</w:t>
      </w:r>
      <w:r>
        <w:rPr>
          <w:rFonts w:ascii="楷体" w:hAnsi="楷体" w:eastAsia="楷体"/>
          <w:szCs w:val="21"/>
        </w:rPr>
        <w:t>1</w:t>
      </w:r>
      <w:r>
        <w:rPr>
          <w:rFonts w:hint="eastAsia" w:ascii="楷体" w:hAnsi="楷体" w:eastAsia="楷体"/>
          <w:szCs w:val="21"/>
        </w:rPr>
        <w:t>0mm；</w:t>
      </w:r>
    </w:p>
    <w:p>
      <w:pPr>
        <w:pStyle w:val="18"/>
        <w:numPr>
          <w:ilvl w:val="0"/>
          <w:numId w:val="5"/>
        </w:numPr>
        <w:spacing w:line="276" w:lineRule="auto"/>
        <w:ind w:firstLineChars="0"/>
        <w:rPr>
          <w:rFonts w:ascii="楷体" w:hAnsi="楷体" w:eastAsia="楷体"/>
          <w:szCs w:val="21"/>
        </w:rPr>
      </w:pPr>
      <w:r>
        <w:rPr>
          <w:rFonts w:hint="eastAsia" w:ascii="楷体" w:hAnsi="楷体" w:eastAsia="楷体"/>
          <w:szCs w:val="21"/>
        </w:rPr>
        <w:t>整机重量：≤ 2Kg。</w:t>
      </w:r>
    </w:p>
    <w:p>
      <w:pPr>
        <w:rPr>
          <w:rFonts w:hint="eastAsia"/>
          <w:lang w:val="en-US" w:eastAsia="zh-CN"/>
        </w:rPr>
      </w:pPr>
      <w:r>
        <w:rPr>
          <w:rFonts w:hint="eastAsia"/>
          <w:lang w:val="en-US" w:eastAsia="zh-CN"/>
        </w:rPr>
        <w:br w:type="page"/>
      </w:r>
    </w:p>
    <w:p>
      <w:pPr>
        <w:pStyle w:val="5"/>
        <w:bidi w:val="0"/>
        <w:rPr>
          <w:rFonts w:hint="eastAsia"/>
          <w:lang w:val="en-US" w:eastAsia="zh-CN"/>
        </w:rPr>
      </w:pPr>
      <w:r>
        <w:rPr>
          <w:rFonts w:hint="eastAsia"/>
          <w:lang w:val="en-US" w:eastAsia="zh-CN"/>
        </w:rPr>
        <w:t>4.2雷达水位计</w:t>
      </w:r>
    </w:p>
    <w:p>
      <w:pPr>
        <w:ind w:firstLine="420" w:firstLineChars="200"/>
        <w:rPr>
          <w:rFonts w:ascii="Times New Roman" w:hAnsi="Times New Roman" w:cs="Times New Roman"/>
        </w:rPr>
      </w:pPr>
      <w:r>
        <w:rPr>
          <w:rFonts w:hint="eastAsia" w:ascii="Times New Roman" w:hAnsi="Times New Roman" w:cs="Times New Roman"/>
        </w:rPr>
        <w:t>雷达液位计系列产品，是指工作在 76-81GHz的调频连续波(FMCW)雷达产品。产品最大量程可以达到</w:t>
      </w:r>
      <w:r>
        <w:rPr>
          <w:rFonts w:ascii="Times New Roman" w:hAnsi="Times New Roman" w:cs="Times New Roman"/>
        </w:rPr>
        <w:t>70</w:t>
      </w:r>
      <w:r>
        <w:rPr>
          <w:rFonts w:hint="eastAsia" w:ascii="Times New Roman" w:hAnsi="Times New Roman" w:cs="Times New Roman"/>
        </w:rPr>
        <w:t>m, 盲区在10 cm以内。由于它工作频率更高，带宽更大，测量精度更高。产品提供支架的固定方式，3.6V锂电池供电，4</w:t>
      </w:r>
      <w:r>
        <w:rPr>
          <w:rFonts w:ascii="Times New Roman" w:hAnsi="Times New Roman" w:cs="Times New Roman"/>
        </w:rPr>
        <w:t>85</w:t>
      </w:r>
      <w:r>
        <w:rPr>
          <w:rFonts w:hint="eastAsia" w:ascii="Times New Roman" w:hAnsi="Times New Roman" w:cs="Times New Roman"/>
        </w:rPr>
        <w:t>、T</w:t>
      </w:r>
      <w:r>
        <w:rPr>
          <w:rFonts w:ascii="Times New Roman" w:hAnsi="Times New Roman" w:cs="Times New Roman"/>
        </w:rPr>
        <w:t>TL</w:t>
      </w:r>
      <w:r>
        <w:rPr>
          <w:rFonts w:hint="eastAsia" w:ascii="Times New Roman" w:hAnsi="Times New Roman" w:cs="Times New Roman"/>
        </w:rPr>
        <w:t>、NB通信，无需现场布线使得安装便捷简易。</w:t>
      </w:r>
    </w:p>
    <w:p>
      <w:pPr>
        <w:rPr>
          <w:rFonts w:ascii="Times New Roman" w:hAnsi="Times New Roman" w:cs="Times New Roman"/>
        </w:rPr>
      </w:pPr>
    </w:p>
    <w:p>
      <w:pPr>
        <w:rPr>
          <w:rFonts w:ascii="Times New Roman" w:hAnsi="Times New Roman" w:cs="Times New Roman"/>
          <w:b/>
          <w:bCs/>
        </w:rPr>
      </w:pPr>
      <w:r>
        <w:rPr>
          <w:rFonts w:hint="eastAsia" w:ascii="Times New Roman" w:hAnsi="Times New Roman" w:cs="Times New Roman"/>
          <w:b/>
          <w:bCs/>
        </w:rPr>
        <w:t>雷达液位计系列的主要优势如下：</w:t>
      </w:r>
    </w:p>
    <w:p>
      <w:pPr>
        <w:pStyle w:val="18"/>
        <w:numPr>
          <w:ilvl w:val="0"/>
          <w:numId w:val="6"/>
        </w:numPr>
        <w:ind w:firstLineChars="0"/>
        <w:rPr>
          <w:rFonts w:ascii="Times New Roman" w:hAnsi="Times New Roman" w:cs="Times New Roman"/>
        </w:rPr>
      </w:pPr>
      <w:r>
        <w:rPr>
          <w:rFonts w:hint="eastAsia" w:ascii="Times New Roman" w:hAnsi="Times New Roman" w:cs="Times New Roman"/>
        </w:rPr>
        <w:t>基于自研的CMOS毫米波射频芯片，实现更紧凑的射频架构，更高的信噪比，更小的盲区。</w:t>
      </w:r>
    </w:p>
    <w:p>
      <w:pPr>
        <w:pStyle w:val="18"/>
        <w:numPr>
          <w:ilvl w:val="0"/>
          <w:numId w:val="6"/>
        </w:numPr>
        <w:ind w:firstLineChars="0"/>
        <w:rPr>
          <w:rFonts w:ascii="Times New Roman" w:hAnsi="Times New Roman" w:cs="Times New Roman"/>
        </w:rPr>
      </w:pPr>
      <w:r>
        <w:rPr>
          <w:rFonts w:hint="eastAsia" w:ascii="Times New Roman" w:hAnsi="Times New Roman" w:cs="Times New Roman"/>
        </w:rPr>
        <w:t>5GHz工作带宽，使产品拥有更高的测量分辨率与测量精度。</w:t>
      </w:r>
    </w:p>
    <w:p>
      <w:pPr>
        <w:pStyle w:val="18"/>
        <w:numPr>
          <w:ilvl w:val="0"/>
          <w:numId w:val="6"/>
        </w:numPr>
        <w:ind w:firstLineChars="0"/>
        <w:rPr>
          <w:rFonts w:ascii="Times New Roman" w:hAnsi="Times New Roman" w:cs="Times New Roman"/>
        </w:rPr>
      </w:pPr>
      <w:r>
        <w:rPr>
          <w:rFonts w:ascii="Times New Roman" w:hAnsi="Times New Roman" w:cs="Times New Roman"/>
        </w:rPr>
        <w:t>最窄</w:t>
      </w:r>
      <w:r>
        <w:rPr>
          <w:rFonts w:hint="eastAsia" w:ascii="Times New Roman" w:hAnsi="Times New Roman" w:cs="Times New Roman"/>
        </w:rPr>
        <w:t>6°天线波束角，安装环境中的干扰对仪表的影响更小，安装更为便捷。</w:t>
      </w:r>
    </w:p>
    <w:p>
      <w:pPr>
        <w:pStyle w:val="18"/>
        <w:numPr>
          <w:ilvl w:val="0"/>
          <w:numId w:val="6"/>
        </w:numPr>
        <w:ind w:firstLineChars="0"/>
        <w:rPr>
          <w:rFonts w:ascii="Times New Roman" w:hAnsi="Times New Roman" w:cs="Times New Roman"/>
        </w:rPr>
      </w:pPr>
      <w:r>
        <w:rPr>
          <w:rFonts w:ascii="Times New Roman" w:hAnsi="Times New Roman" w:cs="Times New Roman"/>
        </w:rPr>
        <w:t>一体化透镜设计，体积精巧。</w:t>
      </w:r>
    </w:p>
    <w:p>
      <w:pPr>
        <w:pStyle w:val="18"/>
        <w:numPr>
          <w:ilvl w:val="0"/>
          <w:numId w:val="6"/>
        </w:numPr>
        <w:ind w:firstLineChars="0"/>
        <w:rPr>
          <w:rFonts w:ascii="Times New Roman" w:hAnsi="Times New Roman" w:cs="Times New Roman"/>
        </w:rPr>
      </w:pPr>
      <w:r>
        <w:rPr>
          <w:rFonts w:hint="eastAsia" w:ascii="Times New Roman" w:hAnsi="Times New Roman" w:cs="Times New Roman"/>
        </w:rPr>
        <w:t>显控和液位计采用分离设计，可定制。</w:t>
      </w:r>
    </w:p>
    <w:p>
      <w:pPr>
        <w:pStyle w:val="18"/>
        <w:numPr>
          <w:ilvl w:val="0"/>
          <w:numId w:val="6"/>
        </w:numPr>
        <w:ind w:firstLineChars="0"/>
        <w:rPr>
          <w:rFonts w:ascii="Times New Roman" w:hAnsi="Times New Roman" w:cs="Times New Roman"/>
        </w:rPr>
      </w:pPr>
      <w:r>
        <w:rPr>
          <w:rFonts w:hint="eastAsia" w:ascii="Times New Roman" w:hAnsi="Times New Roman" w:cs="Times New Roman"/>
        </w:rPr>
        <w:t>支持NB无线传输，可配置上传周期。</w:t>
      </w:r>
    </w:p>
    <w:p>
      <w:pPr>
        <w:pStyle w:val="18"/>
        <w:numPr>
          <w:ilvl w:val="0"/>
          <w:numId w:val="6"/>
        </w:numPr>
        <w:ind w:firstLineChars="0"/>
        <w:rPr>
          <w:rFonts w:ascii="Times New Roman" w:hAnsi="Times New Roman" w:cs="Times New Roman"/>
        </w:rPr>
      </w:pPr>
      <w:r>
        <w:rPr>
          <w:rFonts w:hint="eastAsia" w:ascii="Times New Roman" w:hAnsi="Times New Roman" w:cs="Times New Roman"/>
        </w:rPr>
        <w:t>低功耗运行，寿命大于3年。</w:t>
      </w:r>
    </w:p>
    <w:p>
      <w:pPr>
        <w:pStyle w:val="18"/>
        <w:numPr>
          <w:ilvl w:val="0"/>
          <w:numId w:val="6"/>
        </w:numPr>
        <w:ind w:firstLineChars="0"/>
        <w:rPr>
          <w:rFonts w:ascii="Times New Roman" w:hAnsi="Times New Roman" w:cs="Times New Roman"/>
        </w:rPr>
      </w:pPr>
      <w:r>
        <w:rPr>
          <w:rFonts w:ascii="Times New Roman" w:hAnsi="Times New Roman" w:cs="Times New Roman"/>
        </w:rPr>
        <w:t>水位超上</w:t>
      </w:r>
      <w:r>
        <w:rPr>
          <w:rFonts w:hint="eastAsia" w:ascii="Times New Roman" w:hAnsi="Times New Roman" w:cs="Times New Roman"/>
        </w:rPr>
        <w:t>、</w:t>
      </w:r>
      <w:r>
        <w:rPr>
          <w:rFonts w:ascii="Times New Roman" w:hAnsi="Times New Roman" w:cs="Times New Roman"/>
        </w:rPr>
        <w:t>下限（可配置）上传报警信息。</w:t>
      </w:r>
    </w:p>
    <w:p>
      <w:pPr>
        <w:pStyle w:val="18"/>
        <w:numPr>
          <w:ilvl w:val="0"/>
          <w:numId w:val="7"/>
        </w:numPr>
        <w:ind w:firstLineChars="0"/>
        <w:rPr>
          <w:rFonts w:ascii="Times New Roman" w:hAnsi="Times New Roman" w:cs="Times New Roman"/>
        </w:rPr>
      </w:pPr>
      <w:r>
        <w:rPr>
          <w:rFonts w:hint="eastAsia" w:ascii="Times New Roman" w:hAnsi="Times New Roman" w:cs="Times New Roman"/>
        </w:rPr>
        <w:t>支持手机蓝牙调试，方便现场人员维护工作（后续版本支持）。</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br w:type="page"/>
      </w:r>
    </w:p>
    <w:p>
      <w:pPr>
        <w:pStyle w:val="5"/>
        <w:bidi w:val="0"/>
        <w:rPr>
          <w:rFonts w:hint="default"/>
          <w:lang w:val="en-US" w:eastAsia="zh-CN"/>
        </w:rPr>
      </w:pPr>
      <w:r>
        <w:rPr>
          <w:rFonts w:hint="eastAsia"/>
          <w:lang w:val="en-US" w:eastAsia="zh-CN"/>
        </w:rPr>
        <w:t>4.3便携式热敏打印机</w:t>
      </w:r>
    </w:p>
    <w:p>
      <w:pPr>
        <w:pStyle w:val="18"/>
        <w:numPr>
          <w:ilvl w:val="0"/>
          <w:numId w:val="0"/>
        </w:numPr>
        <w:spacing w:line="276" w:lineRule="auto"/>
      </w:pPr>
    </w:p>
    <w:p>
      <w:pPr>
        <w:pStyle w:val="18"/>
        <w:numPr>
          <w:ilvl w:val="0"/>
          <w:numId w:val="0"/>
        </w:numPr>
        <w:spacing w:line="276" w:lineRule="auto"/>
      </w:pPr>
    </w:p>
    <w:p>
      <w:pPr>
        <w:pStyle w:val="18"/>
        <w:numPr>
          <w:ilvl w:val="0"/>
          <w:numId w:val="0"/>
        </w:numPr>
        <w:spacing w:line="276" w:lineRule="auto"/>
      </w:pPr>
    </w:p>
    <w:p>
      <w:pPr>
        <w:pStyle w:val="18"/>
        <w:numPr>
          <w:ilvl w:val="0"/>
          <w:numId w:val="0"/>
        </w:numPr>
        <w:spacing w:line="276" w:lineRule="auto"/>
      </w:pPr>
    </w:p>
    <w:p>
      <w:pPr>
        <w:pStyle w:val="18"/>
        <w:numPr>
          <w:ilvl w:val="0"/>
          <w:numId w:val="0"/>
        </w:numPr>
        <w:spacing w:line="276" w:lineRule="auto"/>
      </w:pPr>
    </w:p>
    <w:p>
      <w:pPr>
        <w:pStyle w:val="18"/>
        <w:numPr>
          <w:ilvl w:val="0"/>
          <w:numId w:val="0"/>
        </w:numPr>
        <w:spacing w:line="276" w:lineRule="auto"/>
        <w:jc w:val="center"/>
        <w:rPr>
          <w:rFonts w:hint="eastAsia" w:ascii="楷体" w:hAnsi="楷体" w:eastAsia="楷体"/>
          <w:szCs w:val="21"/>
        </w:rPr>
      </w:pPr>
      <w:r>
        <w:drawing>
          <wp:inline distT="0" distB="0" distL="114300" distR="114300">
            <wp:extent cx="4528820" cy="4399915"/>
            <wp:effectExtent l="0" t="0" r="5080"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3"/>
                    <a:stretch>
                      <a:fillRect/>
                    </a:stretch>
                  </pic:blipFill>
                  <pic:spPr>
                    <a:xfrm>
                      <a:off x="0" y="0"/>
                      <a:ext cx="4528820" cy="4399915"/>
                    </a:xfrm>
                    <a:prstGeom prst="rect">
                      <a:avLst/>
                    </a:prstGeom>
                    <a:noFill/>
                    <a:ln>
                      <a:noFill/>
                    </a:ln>
                  </pic:spPr>
                </pic:pic>
              </a:graphicData>
            </a:graphic>
          </wp:inline>
        </w:drawing>
      </w:r>
      <w:r>
        <w:drawing>
          <wp:inline distT="0" distB="0" distL="114300" distR="114300">
            <wp:extent cx="4888865" cy="6568440"/>
            <wp:effectExtent l="0" t="0" r="635" b="1016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4"/>
                    <a:stretch>
                      <a:fillRect/>
                    </a:stretch>
                  </pic:blipFill>
                  <pic:spPr>
                    <a:xfrm>
                      <a:off x="0" y="0"/>
                      <a:ext cx="4888865" cy="6568440"/>
                    </a:xfrm>
                    <a:prstGeom prst="rect">
                      <a:avLst/>
                    </a:prstGeom>
                    <a:noFill/>
                    <a:ln>
                      <a:noFill/>
                    </a:ln>
                  </pic:spPr>
                </pic:pic>
              </a:graphicData>
            </a:graphic>
          </wp:inline>
        </w:drawing>
      </w:r>
    </w:p>
    <w:p>
      <w:pPr>
        <w:rPr>
          <w:rFonts w:hint="eastAsia"/>
        </w:rPr>
      </w:pPr>
      <w:r>
        <w:rPr>
          <w:rFonts w:hint="eastAsia"/>
        </w:rPr>
        <w:br w:type="page"/>
      </w:r>
    </w:p>
    <w:p>
      <w:pPr>
        <w:pStyle w:val="4"/>
      </w:pPr>
      <w:r>
        <w:rPr>
          <w:rFonts w:hint="eastAsia"/>
        </w:rPr>
        <w:t>5、结论</w:t>
      </w:r>
    </w:p>
    <w:p>
      <w:pPr>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我们在设计这款产品时，充分研究了</w:t>
      </w:r>
      <w:r>
        <w:rPr>
          <w:rFonts w:hint="eastAsia" w:cs="宋体" w:asciiTheme="minorEastAsia" w:hAnsiTheme="minorEastAsia" w:eastAsiaTheme="minorEastAsia"/>
          <w:kern w:val="0"/>
          <w:szCs w:val="21"/>
        </w:rPr>
        <w:t>相关的标准要求，力求在满足数据准确性的基础上，使现场比对验收工作快捷而高效，希望这款产品能</w:t>
      </w:r>
      <w:r>
        <w:rPr>
          <w:rFonts w:hint="eastAsia" w:cs="黑体" w:asciiTheme="minorEastAsia" w:hAnsiTheme="minorEastAsia" w:eastAsiaTheme="minorEastAsia"/>
          <w:kern w:val="0"/>
          <w:szCs w:val="21"/>
        </w:rPr>
        <w:t>在线监测系统流量监测单元的验收工作中，</w:t>
      </w:r>
      <w:r>
        <w:rPr>
          <w:rFonts w:hint="eastAsia" w:cs="宋体" w:asciiTheme="minorEastAsia" w:hAnsiTheme="minorEastAsia" w:eastAsiaTheme="minorEastAsia"/>
          <w:kern w:val="0"/>
          <w:szCs w:val="21"/>
        </w:rPr>
        <w:t>降低使用者的工作强度和难度，提高工作效率，为现场验收工作提供帮助。</w:t>
      </w:r>
    </w:p>
    <w:sectPr>
      <w:headerReference r:id="rId3" w:type="default"/>
      <w:footerReference r:id="rId4" w:type="default"/>
      <w:pgSz w:w="11906" w:h="16838"/>
      <w:pgMar w:top="720" w:right="720" w:bottom="720" w:left="720"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20F0302020204030204"/>
    <w:charset w:val="00"/>
    <w:family w:val="swiss"/>
    <w:pitch w:val="default"/>
    <w:sig w:usb0="00000000" w:usb1="00000000" w:usb2="00000009" w:usb3="00000000" w:csb0="200001FF" w:csb1="00000000"/>
  </w:font>
  <w:font w:name="楷体">
    <w:altName w:val="楷体_GB2312"/>
    <w:panose1 w:val="02010609060101010101"/>
    <w:charset w:val="86"/>
    <w:family w:val="modern"/>
    <w:pitch w:val="default"/>
    <w:sig w:usb0="00000000" w:usb1="00000000" w:usb2="00000016"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TimesNewRomanPS-ItalicMT">
    <w:altName w:val="微软雅黑"/>
    <w:panose1 w:val="00000000000000000000"/>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8265288"/>
      <w:docPartObj>
        <w:docPartGallery w:val="autotext"/>
      </w:docPartObj>
    </w:sdtPr>
    <w:sdtEndPr>
      <w:rPr>
        <w:rFonts w:hint="default"/>
        <w:lang w:val="en-US"/>
      </w:rPr>
    </w:sdtEndPr>
    <w:sdtContent>
      <w:p>
        <w:pPr>
          <w:pStyle w:val="9"/>
          <w:rPr>
            <w:rFonts w:hint="default"/>
            <w:lang w:val="en-US"/>
          </w:rP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0"/>
      </w:pBdr>
      <w:ind w:firstLine="1800" w:firstLineChars="750"/>
      <w:jc w:val="left"/>
      <w:rPr>
        <w:rFonts w:hint="default" w:eastAsia="宋体"/>
        <w:sz w:val="24"/>
        <w:szCs w:val="24"/>
        <w:shd w:val="pct10" w:color="auto" w:fill="FFFFFF"/>
        <w:lang w:val="en-US" w:eastAsia="zh-CN"/>
      </w:rPr>
    </w:pPr>
    <w:r>
      <w:rPr>
        <w:rFonts w:hint="eastAsia"/>
        <w:sz w:val="24"/>
        <w:szCs w:val="24"/>
        <w:shd w:val="pct10" w:color="auto" w:fill="FFFFFF"/>
        <w:lang w:val="en-US" w:eastAsia="zh-CN"/>
      </w:rPr>
      <w:t xml:space="preserve"> 成都市凯思达机电有限责任公司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41B72"/>
    <w:multiLevelType w:val="singleLevel"/>
    <w:tmpl w:val="8F841B72"/>
    <w:lvl w:ilvl="0" w:tentative="0">
      <w:start w:val="1"/>
      <w:numFmt w:val="bullet"/>
      <w:lvlText w:val=""/>
      <w:lvlJc w:val="left"/>
      <w:pPr>
        <w:ind w:left="420" w:hanging="420"/>
      </w:pPr>
      <w:rPr>
        <w:rFonts w:hint="default" w:ascii="Wingdings" w:hAnsi="Wingdings"/>
      </w:rPr>
    </w:lvl>
  </w:abstractNum>
  <w:abstractNum w:abstractNumId="1">
    <w:nsid w:val="DE88E8AE"/>
    <w:multiLevelType w:val="singleLevel"/>
    <w:tmpl w:val="DE88E8AE"/>
    <w:lvl w:ilvl="0" w:tentative="0">
      <w:start w:val="1"/>
      <w:numFmt w:val="decimal"/>
      <w:suff w:val="nothing"/>
      <w:lvlText w:val="%1）"/>
      <w:lvlJc w:val="left"/>
    </w:lvl>
  </w:abstractNum>
  <w:abstractNum w:abstractNumId="2">
    <w:nsid w:val="29F97F18"/>
    <w:multiLevelType w:val="multilevel"/>
    <w:tmpl w:val="29F97F1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2A36504"/>
    <w:multiLevelType w:val="multilevel"/>
    <w:tmpl w:val="32A36504"/>
    <w:lvl w:ilvl="0" w:tentative="0">
      <w:start w:val="1"/>
      <w:numFmt w:val="decimal"/>
      <w:lvlText w:val="(%1)"/>
      <w:lvlJc w:val="left"/>
      <w:pPr>
        <w:ind w:left="1260" w:hanging="4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355B643C"/>
    <w:multiLevelType w:val="singleLevel"/>
    <w:tmpl w:val="355B643C"/>
    <w:lvl w:ilvl="0" w:tentative="0">
      <w:start w:val="1"/>
      <w:numFmt w:val="decimal"/>
      <w:suff w:val="nothing"/>
      <w:lvlText w:val="%1、"/>
      <w:lvlJc w:val="left"/>
    </w:lvl>
  </w:abstractNum>
  <w:abstractNum w:abstractNumId="5">
    <w:nsid w:val="4C94057C"/>
    <w:multiLevelType w:val="multilevel"/>
    <w:tmpl w:val="4C94057C"/>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B7B763B"/>
    <w:multiLevelType w:val="multilevel"/>
    <w:tmpl w:val="7B7B76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4"/>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0MjlhMzdhZjA5NTkwZjlmZGVmNDUzNjlhMWVmZjMifQ=="/>
  </w:docVars>
  <w:rsids>
    <w:rsidRoot w:val="00A05872"/>
    <w:rsid w:val="00040695"/>
    <w:rsid w:val="000B2F15"/>
    <w:rsid w:val="000B4309"/>
    <w:rsid w:val="000D0322"/>
    <w:rsid w:val="000D377C"/>
    <w:rsid w:val="000E2D1E"/>
    <w:rsid w:val="0010178B"/>
    <w:rsid w:val="00113CDC"/>
    <w:rsid w:val="00157EBA"/>
    <w:rsid w:val="001A7DD5"/>
    <w:rsid w:val="001D6D99"/>
    <w:rsid w:val="001E2D59"/>
    <w:rsid w:val="002013C7"/>
    <w:rsid w:val="00205B2B"/>
    <w:rsid w:val="00243FCC"/>
    <w:rsid w:val="00247F46"/>
    <w:rsid w:val="0026639D"/>
    <w:rsid w:val="002C0416"/>
    <w:rsid w:val="002C49BA"/>
    <w:rsid w:val="002F6332"/>
    <w:rsid w:val="00307C13"/>
    <w:rsid w:val="00371441"/>
    <w:rsid w:val="00381C0D"/>
    <w:rsid w:val="003869D3"/>
    <w:rsid w:val="00393083"/>
    <w:rsid w:val="00394357"/>
    <w:rsid w:val="003B6ADC"/>
    <w:rsid w:val="003F06DE"/>
    <w:rsid w:val="003F41D7"/>
    <w:rsid w:val="00432156"/>
    <w:rsid w:val="004457C1"/>
    <w:rsid w:val="00493A35"/>
    <w:rsid w:val="004D5B63"/>
    <w:rsid w:val="004E5D5D"/>
    <w:rsid w:val="00531F23"/>
    <w:rsid w:val="0053464D"/>
    <w:rsid w:val="0054749A"/>
    <w:rsid w:val="005554C3"/>
    <w:rsid w:val="005836D3"/>
    <w:rsid w:val="005962DA"/>
    <w:rsid w:val="005C16A1"/>
    <w:rsid w:val="005D4DAF"/>
    <w:rsid w:val="005E4DAE"/>
    <w:rsid w:val="00677903"/>
    <w:rsid w:val="006A3317"/>
    <w:rsid w:val="006B17BE"/>
    <w:rsid w:val="006D65CA"/>
    <w:rsid w:val="006E56F9"/>
    <w:rsid w:val="00755521"/>
    <w:rsid w:val="007659C6"/>
    <w:rsid w:val="007855C0"/>
    <w:rsid w:val="007C255E"/>
    <w:rsid w:val="0080234B"/>
    <w:rsid w:val="00810969"/>
    <w:rsid w:val="00820C53"/>
    <w:rsid w:val="008253E2"/>
    <w:rsid w:val="00840A45"/>
    <w:rsid w:val="00844406"/>
    <w:rsid w:val="008679E2"/>
    <w:rsid w:val="00883A9D"/>
    <w:rsid w:val="008D1757"/>
    <w:rsid w:val="009118C4"/>
    <w:rsid w:val="009430F1"/>
    <w:rsid w:val="009509BC"/>
    <w:rsid w:val="009765D4"/>
    <w:rsid w:val="00997936"/>
    <w:rsid w:val="009A7C17"/>
    <w:rsid w:val="009E41B6"/>
    <w:rsid w:val="00A05872"/>
    <w:rsid w:val="00A27342"/>
    <w:rsid w:val="00A40233"/>
    <w:rsid w:val="00A60B56"/>
    <w:rsid w:val="00A676BA"/>
    <w:rsid w:val="00A90A71"/>
    <w:rsid w:val="00AA36BD"/>
    <w:rsid w:val="00AA70D9"/>
    <w:rsid w:val="00AC20F4"/>
    <w:rsid w:val="00AD7879"/>
    <w:rsid w:val="00B03D4D"/>
    <w:rsid w:val="00B20C86"/>
    <w:rsid w:val="00B22A44"/>
    <w:rsid w:val="00B3566F"/>
    <w:rsid w:val="00B57FA5"/>
    <w:rsid w:val="00BA0587"/>
    <w:rsid w:val="00BC3640"/>
    <w:rsid w:val="00D07D90"/>
    <w:rsid w:val="00D364D8"/>
    <w:rsid w:val="00D77FCA"/>
    <w:rsid w:val="00DA0D29"/>
    <w:rsid w:val="00DA42AE"/>
    <w:rsid w:val="00DF2C92"/>
    <w:rsid w:val="00E34A4E"/>
    <w:rsid w:val="00E46A4B"/>
    <w:rsid w:val="00E805FD"/>
    <w:rsid w:val="00EB2BA0"/>
    <w:rsid w:val="00ED35E9"/>
    <w:rsid w:val="00EF0A7E"/>
    <w:rsid w:val="00F113AA"/>
    <w:rsid w:val="00F11952"/>
    <w:rsid w:val="00FE2AE2"/>
    <w:rsid w:val="04961002"/>
    <w:rsid w:val="0E2A3C10"/>
    <w:rsid w:val="162B4EC1"/>
    <w:rsid w:val="299D4CAF"/>
    <w:rsid w:val="30322229"/>
    <w:rsid w:val="38E928FC"/>
    <w:rsid w:val="3FD77D91"/>
    <w:rsid w:val="401D3A9E"/>
    <w:rsid w:val="549C661D"/>
    <w:rsid w:val="74BA7406"/>
    <w:rsid w:val="7FBB10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360" w:lineRule="auto"/>
      <w:outlineLvl w:val="2"/>
    </w:pPr>
    <w:rPr>
      <w:bCs/>
      <w:sz w:val="28"/>
      <w:szCs w:val="32"/>
    </w:rPr>
  </w:style>
  <w:style w:type="paragraph" w:styleId="6">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p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alloon Text"/>
    <w:basedOn w:val="1"/>
    <w:link w:val="24"/>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页眉 Char"/>
    <w:basedOn w:val="13"/>
    <w:link w:val="10"/>
    <w:qFormat/>
    <w:uiPriority w:val="99"/>
    <w:rPr>
      <w:sz w:val="18"/>
      <w:szCs w:val="18"/>
    </w:rPr>
  </w:style>
  <w:style w:type="character" w:customStyle="1" w:styleId="17">
    <w:name w:val="页脚 Char"/>
    <w:basedOn w:val="13"/>
    <w:link w:val="9"/>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标题 1 Char"/>
    <w:basedOn w:val="13"/>
    <w:link w:val="3"/>
    <w:qFormat/>
    <w:uiPriority w:val="9"/>
    <w:rPr>
      <w:rFonts w:ascii="Times New Roman" w:hAnsi="Times New Roman" w:eastAsia="宋体" w:cs="Times New Roman"/>
      <w:b/>
      <w:bCs/>
      <w:kern w:val="44"/>
      <w:sz w:val="44"/>
      <w:szCs w:val="44"/>
    </w:rPr>
  </w:style>
  <w:style w:type="character" w:customStyle="1" w:styleId="20">
    <w:name w:val="标题 2 Char"/>
    <w:basedOn w:val="13"/>
    <w:link w:val="4"/>
    <w:qFormat/>
    <w:uiPriority w:val="9"/>
    <w:rPr>
      <w:rFonts w:asciiTheme="majorHAnsi" w:hAnsiTheme="majorHAnsi" w:eastAsiaTheme="majorEastAsia" w:cstheme="majorBidi"/>
      <w:b/>
      <w:bCs/>
      <w:sz w:val="32"/>
      <w:szCs w:val="32"/>
    </w:rPr>
  </w:style>
  <w:style w:type="character" w:customStyle="1" w:styleId="21">
    <w:name w:val="标题 3 Char"/>
    <w:basedOn w:val="13"/>
    <w:link w:val="5"/>
    <w:qFormat/>
    <w:uiPriority w:val="9"/>
    <w:rPr>
      <w:rFonts w:ascii="Times New Roman" w:hAnsi="Times New Roman" w:eastAsia="宋体" w:cs="Times New Roman"/>
      <w:bCs/>
      <w:sz w:val="28"/>
      <w:szCs w:val="32"/>
    </w:rPr>
  </w:style>
  <w:style w:type="character" w:customStyle="1" w:styleId="22">
    <w:name w:val="标题 4 Char"/>
    <w:basedOn w:val="13"/>
    <w:link w:val="6"/>
    <w:qFormat/>
    <w:uiPriority w:val="9"/>
    <w:rPr>
      <w:rFonts w:asciiTheme="majorHAnsi" w:hAnsiTheme="majorHAnsi" w:eastAsiaTheme="majorEastAsia" w:cstheme="majorBidi"/>
      <w:b/>
      <w:bCs/>
      <w:sz w:val="28"/>
      <w:szCs w:val="28"/>
    </w:rPr>
  </w:style>
  <w:style w:type="character" w:customStyle="1" w:styleId="23">
    <w:name w:val="Unresolved Mention"/>
    <w:basedOn w:val="13"/>
    <w:semiHidden/>
    <w:unhideWhenUsed/>
    <w:qFormat/>
    <w:uiPriority w:val="99"/>
    <w:rPr>
      <w:color w:val="605E5C"/>
      <w:shd w:val="clear" w:color="auto" w:fill="E1DFDD"/>
    </w:rPr>
  </w:style>
  <w:style w:type="character" w:customStyle="1" w:styleId="24">
    <w:name w:val="批注框文本 Char"/>
    <w:basedOn w:val="13"/>
    <w:link w:val="8"/>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2821</Words>
  <Characters>3117</Characters>
  <Lines>24</Lines>
  <Paragraphs>6</Paragraphs>
  <TotalTime>5</TotalTime>
  <ScaleCrop>false</ScaleCrop>
  <LinksUpToDate>false</LinksUpToDate>
  <CharactersWithSpaces>3147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2020-03-18T02:08:00Z</dcterms:created>
  <dc:creator>dell</dc:creator>
  <cp:lastModifiedBy>A-梁唯</cp:lastModifiedBy>
  <dcterms:modified xsi:type="dcterms:W3CDTF">2023-02-24T04:21:20Z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1C1BA0889AE44124953F4849A1D63631</vt:lpwstr>
  </property>
</Properties>
</file>